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753" w:rsidRDefault="00AB1B4E" w:rsidP="00AF65DD">
      <w:pPr>
        <w:spacing w:after="0" w:line="260" w:lineRule="atLeast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70A3">
        <w:rPr>
          <w:rFonts w:ascii="Times New Roman" w:hAnsi="Times New Roman" w:cs="Times New Roman"/>
          <w:b/>
          <w:sz w:val="24"/>
          <w:szCs w:val="24"/>
          <w:lang w:val="en-US"/>
        </w:rPr>
        <w:t>DAVID Carine</w:t>
      </w:r>
    </w:p>
    <w:p w:rsidR="00D509BF" w:rsidRPr="00D509BF" w:rsidRDefault="00D509BF" w:rsidP="00AF65DD">
      <w:pPr>
        <w:spacing w:after="0" w:line="260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509BF">
        <w:rPr>
          <w:rFonts w:ascii="Times New Roman" w:hAnsi="Times New Roman" w:cs="Times New Roman"/>
          <w:b/>
          <w:sz w:val="24"/>
          <w:szCs w:val="24"/>
        </w:rPr>
        <w:t>Née le 7 m</w:t>
      </w:r>
      <w:r>
        <w:rPr>
          <w:rFonts w:ascii="Times New Roman" w:hAnsi="Times New Roman" w:cs="Times New Roman"/>
          <w:b/>
          <w:sz w:val="24"/>
          <w:szCs w:val="24"/>
        </w:rPr>
        <w:t>ai 1973 à Lyon</w:t>
      </w:r>
    </w:p>
    <w:p w:rsidR="00D509BF" w:rsidRPr="00D509BF" w:rsidRDefault="00D509BF" w:rsidP="00AF65DD">
      <w:pPr>
        <w:spacing w:after="0" w:line="260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509BF">
        <w:rPr>
          <w:rFonts w:ascii="Times New Roman" w:hAnsi="Times New Roman" w:cs="Times New Roman"/>
          <w:b/>
          <w:sz w:val="24"/>
          <w:szCs w:val="24"/>
        </w:rPr>
        <w:t>Mariée, 3 enfants</w:t>
      </w:r>
    </w:p>
    <w:p w:rsidR="00AB1B4E" w:rsidRPr="004370A3" w:rsidRDefault="002C2138" w:rsidP="00AF65DD">
      <w:pPr>
        <w:spacing w:after="0" w:line="260" w:lineRule="atLeast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2F53F9" w:rsidRPr="004370A3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carine.david@univ-nc.nc</w:t>
        </w:r>
      </w:hyperlink>
      <w:r w:rsidR="002F53F9" w:rsidRPr="00437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2F53F9" w:rsidRPr="004370A3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/cdavid.juris@gmail.com</w:t>
        </w:r>
      </w:hyperlink>
      <w:r w:rsidR="002F53F9" w:rsidRPr="00437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370A3" w:rsidRDefault="00D30FBB" w:rsidP="00AF65DD">
      <w:pPr>
        <w:spacing w:after="0" w:line="260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4370A3">
        <w:rPr>
          <w:rFonts w:ascii="Times New Roman" w:hAnsi="Times New Roman" w:cs="Times New Roman"/>
          <w:b/>
          <w:sz w:val="24"/>
          <w:szCs w:val="24"/>
        </w:rPr>
        <w:t>Maitre de conférences</w:t>
      </w:r>
      <w:r w:rsidR="004370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119">
        <w:rPr>
          <w:rFonts w:ascii="Times New Roman" w:hAnsi="Times New Roman" w:cs="Times New Roman"/>
          <w:b/>
          <w:sz w:val="24"/>
          <w:szCs w:val="24"/>
        </w:rPr>
        <w:t xml:space="preserve">HDR </w:t>
      </w:r>
      <w:r w:rsidR="004370A3">
        <w:rPr>
          <w:rFonts w:ascii="Times New Roman" w:hAnsi="Times New Roman" w:cs="Times New Roman"/>
          <w:b/>
          <w:sz w:val="24"/>
          <w:szCs w:val="24"/>
        </w:rPr>
        <w:t>en droit public</w:t>
      </w:r>
      <w:r w:rsidR="005031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119" w:rsidRDefault="00503119" w:rsidP="00AF65DD">
      <w:pPr>
        <w:spacing w:after="0" w:line="260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Qualifiée aux fonctions de professeur (2017)</w:t>
      </w:r>
    </w:p>
    <w:p w:rsidR="00457287" w:rsidRDefault="00457287" w:rsidP="00AF65DD">
      <w:pPr>
        <w:spacing w:after="0" w:line="260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Titulaire de la PEDR</w:t>
      </w:r>
      <w:r w:rsidR="00D509BF">
        <w:rPr>
          <w:rFonts w:ascii="Times New Roman" w:hAnsi="Times New Roman" w:cs="Times New Roman"/>
          <w:b/>
          <w:sz w:val="24"/>
          <w:szCs w:val="24"/>
        </w:rPr>
        <w:t xml:space="preserve"> (2018-2021)</w:t>
      </w:r>
    </w:p>
    <w:p w:rsidR="00503119" w:rsidRDefault="00D30FBB" w:rsidP="00AF65DD">
      <w:pPr>
        <w:spacing w:after="0" w:line="260" w:lineRule="atLeast"/>
        <w:ind w:left="-284"/>
        <w:rPr>
          <w:rFonts w:ascii="Times New Roman" w:hAnsi="Times New Roman" w:cs="Times New Roman"/>
          <w:sz w:val="24"/>
          <w:szCs w:val="24"/>
        </w:rPr>
      </w:pPr>
      <w:r w:rsidRPr="004370A3">
        <w:rPr>
          <w:rFonts w:ascii="Times New Roman" w:hAnsi="Times New Roman" w:cs="Times New Roman"/>
          <w:sz w:val="24"/>
          <w:szCs w:val="24"/>
        </w:rPr>
        <w:t>Unive</w:t>
      </w:r>
      <w:r w:rsidR="00EF3F1F" w:rsidRPr="004370A3">
        <w:rPr>
          <w:rFonts w:ascii="Times New Roman" w:hAnsi="Times New Roman" w:cs="Times New Roman"/>
          <w:sz w:val="24"/>
          <w:szCs w:val="24"/>
        </w:rPr>
        <w:t xml:space="preserve">rsité de la Nouvelle-Calédonie </w:t>
      </w:r>
    </w:p>
    <w:p w:rsidR="00503119" w:rsidRDefault="00503119" w:rsidP="00AF65DD">
      <w:pPr>
        <w:spacing w:after="0" w:line="260" w:lineRule="atLeast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Membre du Laboratoire de Recherche Juridique et Economique </w:t>
      </w:r>
    </w:p>
    <w:p w:rsidR="00AB1B4E" w:rsidRPr="004370A3" w:rsidRDefault="00503119" w:rsidP="00AF65DD">
      <w:pPr>
        <w:spacing w:after="120" w:line="260" w:lineRule="atLeast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30FBB" w:rsidRPr="004370A3">
        <w:rPr>
          <w:rFonts w:ascii="Times New Roman" w:hAnsi="Times New Roman" w:cs="Times New Roman"/>
          <w:sz w:val="24"/>
          <w:szCs w:val="24"/>
        </w:rPr>
        <w:t>L</w:t>
      </w:r>
      <w:r w:rsidR="00EF3F1F" w:rsidRPr="004370A3">
        <w:rPr>
          <w:rFonts w:ascii="Times New Roman" w:hAnsi="Times New Roman" w:cs="Times New Roman"/>
          <w:sz w:val="24"/>
          <w:szCs w:val="24"/>
        </w:rPr>
        <w:t xml:space="preserve">ARJE, EA </w:t>
      </w:r>
      <w:r w:rsidR="00D30FBB" w:rsidRPr="004370A3">
        <w:rPr>
          <w:rFonts w:ascii="Times New Roman" w:hAnsi="Times New Roman" w:cs="Times New Roman"/>
          <w:sz w:val="24"/>
          <w:szCs w:val="24"/>
        </w:rPr>
        <w:t>3329)</w:t>
      </w:r>
    </w:p>
    <w:p w:rsidR="00503119" w:rsidRDefault="00503119" w:rsidP="00AF65DD">
      <w:pPr>
        <w:spacing w:before="120" w:after="120" w:line="260" w:lineRule="atLeast"/>
        <w:ind w:left="-284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</w:rPr>
      </w:pPr>
    </w:p>
    <w:p w:rsidR="00AB1B4E" w:rsidRPr="004370A3" w:rsidRDefault="00503119" w:rsidP="00AF65DD">
      <w:pPr>
        <w:spacing w:after="120" w:line="26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370A3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3A1AC87" wp14:editId="5C648CAF">
            <wp:extent cx="1203960" cy="1203960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119" w:rsidRDefault="00503119" w:rsidP="00AF65DD">
      <w:pPr>
        <w:spacing w:after="120" w:line="260" w:lineRule="atLeast"/>
        <w:rPr>
          <w:rFonts w:ascii="Times New Roman" w:hAnsi="Times New Roman" w:cs="Times New Roman"/>
          <w:sz w:val="24"/>
          <w:szCs w:val="24"/>
        </w:rPr>
        <w:sectPr w:rsidR="00503119" w:rsidSect="00503119">
          <w:type w:val="continuous"/>
          <w:pgSz w:w="11906" w:h="16838"/>
          <w:pgMar w:top="993" w:right="1080" w:bottom="1440" w:left="1080" w:header="708" w:footer="708" w:gutter="0"/>
          <w:cols w:num="2" w:space="112" w:equalWidth="0">
            <w:col w:w="6999" w:space="851"/>
            <w:col w:w="1896"/>
          </w:cols>
          <w:docGrid w:linePitch="360"/>
        </w:sectPr>
      </w:pPr>
    </w:p>
    <w:p w:rsidR="00503119" w:rsidRDefault="00503119" w:rsidP="00AF65DD">
      <w:pPr>
        <w:spacing w:after="120" w:line="260" w:lineRule="atLeast"/>
        <w:rPr>
          <w:rFonts w:ascii="Times New Roman" w:hAnsi="Times New Roman" w:cs="Times New Roman"/>
          <w:sz w:val="24"/>
          <w:szCs w:val="24"/>
        </w:rPr>
      </w:pPr>
    </w:p>
    <w:p w:rsidR="00503119" w:rsidRDefault="00503119" w:rsidP="00AF65DD">
      <w:pPr>
        <w:spacing w:after="120" w:line="260" w:lineRule="atLeast"/>
        <w:rPr>
          <w:rFonts w:ascii="Times New Roman" w:hAnsi="Times New Roman" w:cs="Times New Roman"/>
          <w:sz w:val="24"/>
          <w:szCs w:val="24"/>
        </w:rPr>
        <w:sectPr w:rsidR="00503119" w:rsidSect="00503119">
          <w:type w:val="continuous"/>
          <w:pgSz w:w="11906" w:h="16838"/>
          <w:pgMar w:top="993" w:right="1080" w:bottom="1440" w:left="1080" w:header="708" w:footer="708" w:gutter="0"/>
          <w:cols w:num="2" w:space="112" w:equalWidth="0">
            <w:col w:w="6999" w:space="851"/>
            <w:col w:w="1896"/>
          </w:cols>
          <w:docGrid w:linePitch="360"/>
        </w:sectPr>
      </w:pPr>
    </w:p>
    <w:p w:rsidR="00503119" w:rsidRPr="00E65A87" w:rsidRDefault="00503119" w:rsidP="00AF65DD">
      <w:pPr>
        <w:spacing w:before="120" w:after="120" w:line="260" w:lineRule="atLeast"/>
        <w:ind w:left="-284"/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</w:pPr>
      <w:r w:rsidRPr="00E65A87"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  <w:t>D</w:t>
      </w:r>
      <w:r w:rsidR="00E65A87" w:rsidRPr="00E65A87"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  <w:t>iplômes</w:t>
      </w:r>
    </w:p>
    <w:p w:rsidR="00503119" w:rsidRPr="00D509BF" w:rsidRDefault="00503119" w:rsidP="00AF65DD">
      <w:pPr>
        <w:spacing w:after="120" w:line="260" w:lineRule="atLeast"/>
        <w:ind w:left="706" w:hanging="99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0A3">
        <w:rPr>
          <w:rFonts w:ascii="Times New Roman" w:hAnsi="Times New Roman" w:cs="Times New Roman"/>
          <w:sz w:val="24"/>
          <w:szCs w:val="24"/>
        </w:rPr>
        <w:t>2014</w:t>
      </w:r>
      <w:r w:rsidRPr="004370A3">
        <w:rPr>
          <w:rFonts w:ascii="Times New Roman" w:hAnsi="Times New Roman" w:cs="Times New Roman"/>
          <w:sz w:val="24"/>
          <w:szCs w:val="24"/>
        </w:rPr>
        <w:tab/>
      </w:r>
      <w:r w:rsidRPr="004370A3">
        <w:rPr>
          <w:rFonts w:ascii="Times New Roman" w:hAnsi="Times New Roman" w:cs="Times New Roman"/>
          <w:b/>
          <w:sz w:val="24"/>
          <w:szCs w:val="24"/>
        </w:rPr>
        <w:t>Habilitation à diriger des recherches</w:t>
      </w:r>
      <w:r w:rsidRPr="004370A3">
        <w:rPr>
          <w:rFonts w:ascii="Times New Roman" w:hAnsi="Times New Roman" w:cs="Times New Roman"/>
          <w:sz w:val="24"/>
          <w:szCs w:val="24"/>
        </w:rPr>
        <w:t>, Université de Limoges</w:t>
      </w:r>
      <w:r>
        <w:rPr>
          <w:rFonts w:ascii="Times New Roman" w:hAnsi="Times New Roman" w:cs="Times New Roman"/>
          <w:sz w:val="24"/>
          <w:szCs w:val="24"/>
        </w:rPr>
        <w:t>, sous la direction du Prof. Michel Prieur</w:t>
      </w:r>
      <w:r w:rsidR="00D509BF">
        <w:rPr>
          <w:rFonts w:ascii="Times New Roman" w:hAnsi="Times New Roman" w:cs="Times New Roman"/>
          <w:sz w:val="24"/>
          <w:szCs w:val="24"/>
        </w:rPr>
        <w:t xml:space="preserve">. Sujet : </w:t>
      </w:r>
      <w:r w:rsidR="00D509BF" w:rsidRPr="00D509BF">
        <w:rPr>
          <w:rFonts w:ascii="Times New Roman" w:hAnsi="Times New Roman" w:cs="Times New Roman"/>
          <w:i/>
          <w:sz w:val="24"/>
          <w:szCs w:val="24"/>
        </w:rPr>
        <w:t>Environnement institutionnel et institutions de l'environnement en Nouvelle-Calédonie et en droit comparé</w:t>
      </w:r>
      <w:r w:rsidR="00D509BF">
        <w:rPr>
          <w:rFonts w:ascii="Times New Roman" w:hAnsi="Times New Roman" w:cs="Times New Roman"/>
          <w:i/>
          <w:sz w:val="24"/>
          <w:szCs w:val="24"/>
        </w:rPr>
        <w:t>.</w:t>
      </w:r>
    </w:p>
    <w:p w:rsidR="00503119" w:rsidRDefault="00503119" w:rsidP="00AF65DD">
      <w:pPr>
        <w:spacing w:after="120" w:line="260" w:lineRule="atLeast"/>
        <w:ind w:left="706" w:hanging="990"/>
        <w:jc w:val="both"/>
        <w:rPr>
          <w:rFonts w:ascii="Times New Roman" w:hAnsi="Times New Roman" w:cs="Times New Roman"/>
          <w:sz w:val="24"/>
          <w:szCs w:val="24"/>
        </w:rPr>
      </w:pPr>
      <w:r w:rsidRPr="004370A3">
        <w:rPr>
          <w:rFonts w:ascii="Times New Roman" w:hAnsi="Times New Roman" w:cs="Times New Roman"/>
          <w:sz w:val="24"/>
          <w:szCs w:val="24"/>
        </w:rPr>
        <w:t>2005</w:t>
      </w:r>
      <w:r w:rsidRPr="004370A3">
        <w:rPr>
          <w:rFonts w:ascii="Times New Roman" w:hAnsi="Times New Roman" w:cs="Times New Roman"/>
          <w:sz w:val="24"/>
          <w:szCs w:val="24"/>
        </w:rPr>
        <w:tab/>
      </w:r>
      <w:r w:rsidRPr="004370A3">
        <w:rPr>
          <w:rFonts w:ascii="Times New Roman" w:hAnsi="Times New Roman" w:cs="Times New Roman"/>
          <w:b/>
          <w:sz w:val="24"/>
          <w:szCs w:val="24"/>
        </w:rPr>
        <w:t>Doctorat</w:t>
      </w:r>
      <w:r w:rsidRPr="004370A3">
        <w:rPr>
          <w:rFonts w:ascii="Times New Roman" w:hAnsi="Times New Roman" w:cs="Times New Roman"/>
          <w:sz w:val="24"/>
          <w:szCs w:val="24"/>
        </w:rPr>
        <w:t xml:space="preserve"> en droit public à l’université Paris 1, Sujet de la thèse : </w:t>
      </w:r>
      <w:r w:rsidRPr="004370A3">
        <w:rPr>
          <w:rFonts w:ascii="Times New Roman" w:hAnsi="Times New Roman" w:cs="Times New Roman"/>
          <w:i/>
          <w:sz w:val="24"/>
          <w:szCs w:val="24"/>
        </w:rPr>
        <w:t>La loi du pays calédonienne, témoin de la mutation de l’Etat unitaire français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03119">
        <w:rPr>
          <w:rFonts w:ascii="Times New Roman" w:hAnsi="Times New Roman" w:cs="Times New Roman"/>
          <w:sz w:val="24"/>
          <w:szCs w:val="24"/>
        </w:rPr>
        <w:t>sous la direction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70A3">
        <w:rPr>
          <w:rFonts w:ascii="Times New Roman" w:hAnsi="Times New Roman" w:cs="Times New Roman"/>
          <w:sz w:val="24"/>
          <w:szCs w:val="24"/>
        </w:rPr>
        <w:t>M. Jean Gicquel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370A3"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>esseur</w:t>
      </w:r>
      <w:r w:rsidRPr="004370A3">
        <w:rPr>
          <w:rFonts w:ascii="Times New Roman" w:hAnsi="Times New Roman" w:cs="Times New Roman"/>
          <w:sz w:val="24"/>
          <w:szCs w:val="24"/>
        </w:rPr>
        <w:t xml:space="preserve"> à l’Université Paris 1</w:t>
      </w:r>
      <w:r>
        <w:rPr>
          <w:rFonts w:ascii="Times New Roman" w:hAnsi="Times New Roman" w:cs="Times New Roman"/>
          <w:sz w:val="24"/>
          <w:szCs w:val="24"/>
        </w:rPr>
        <w:t xml:space="preserve"> et M. Guy </w:t>
      </w:r>
      <w:proofErr w:type="spellStart"/>
      <w:r>
        <w:rPr>
          <w:rFonts w:ascii="Times New Roman" w:hAnsi="Times New Roman" w:cs="Times New Roman"/>
          <w:sz w:val="24"/>
          <w:szCs w:val="24"/>
        </w:rPr>
        <w:t>Agniel</w:t>
      </w:r>
      <w:proofErr w:type="spellEnd"/>
      <w:r w:rsidRPr="00503119">
        <w:rPr>
          <w:rFonts w:ascii="Times New Roman" w:hAnsi="Times New Roman" w:cs="Times New Roman"/>
          <w:sz w:val="24"/>
          <w:szCs w:val="24"/>
          <w:vertAlign w:val="superscript"/>
        </w:rPr>
        <w:t>†</w:t>
      </w:r>
      <w:r>
        <w:rPr>
          <w:rFonts w:ascii="Times New Roman" w:hAnsi="Times New Roman" w:cs="Times New Roman"/>
          <w:sz w:val="24"/>
          <w:szCs w:val="24"/>
        </w:rPr>
        <w:t xml:space="preserve"> (Professeur à l’Université de la Nouvelle-Calédonie</w:t>
      </w:r>
    </w:p>
    <w:p w:rsidR="00503119" w:rsidRPr="004370A3" w:rsidRDefault="00503119" w:rsidP="00AF65DD">
      <w:pPr>
        <w:spacing w:after="120" w:line="260" w:lineRule="atLeast"/>
        <w:ind w:left="708"/>
        <w:rPr>
          <w:rFonts w:ascii="Times New Roman" w:hAnsi="Times New Roman" w:cs="Times New Roman"/>
          <w:sz w:val="24"/>
          <w:szCs w:val="24"/>
        </w:rPr>
      </w:pPr>
    </w:p>
    <w:p w:rsidR="004370A3" w:rsidRPr="00E65A87" w:rsidRDefault="00E65A87" w:rsidP="00AF65DD">
      <w:pPr>
        <w:spacing w:before="120" w:after="120" w:line="260" w:lineRule="atLeast"/>
        <w:ind w:left="-284"/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</w:pPr>
      <w:r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  <w:t>Publications</w:t>
      </w:r>
    </w:p>
    <w:p w:rsidR="004370A3" w:rsidRPr="004370A3" w:rsidRDefault="004370A3" w:rsidP="00AF65DD">
      <w:pPr>
        <w:spacing w:before="200"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370A3">
        <w:rPr>
          <w:rFonts w:ascii="Times New Roman" w:hAnsi="Times New Roman" w:cs="Times New Roman"/>
          <w:i/>
          <w:sz w:val="24"/>
          <w:szCs w:val="24"/>
          <w:u w:val="single"/>
        </w:rPr>
        <w:t>Ouvrages :</w:t>
      </w:r>
    </w:p>
    <w:p w:rsidR="004370A3" w:rsidRPr="004370A3" w:rsidRDefault="004370A3" w:rsidP="00AF65DD">
      <w:pPr>
        <w:pStyle w:val="Paragraphedeliste"/>
        <w:numPr>
          <w:ilvl w:val="0"/>
          <w:numId w:val="3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0A3">
        <w:rPr>
          <w:rFonts w:ascii="Times New Roman" w:hAnsi="Times New Roman" w:cs="Times New Roman"/>
          <w:sz w:val="24"/>
          <w:szCs w:val="24"/>
        </w:rPr>
        <w:t xml:space="preserve">« Essai sur la loi du pays calédonienne – La dualité de la source législative dans l’Etat unitaire », éd.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L’Harmattan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>, Coll. GRALE/CNRS, 700 pages, 2008.</w:t>
      </w:r>
    </w:p>
    <w:p w:rsidR="004370A3" w:rsidRPr="004370A3" w:rsidRDefault="004370A3" w:rsidP="00AF65DD">
      <w:pPr>
        <w:pStyle w:val="Paragraphedeliste"/>
        <w:numPr>
          <w:ilvl w:val="0"/>
          <w:numId w:val="3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0A3">
        <w:rPr>
          <w:rFonts w:ascii="Times New Roman" w:hAnsi="Times New Roman" w:cs="Times New Roman"/>
          <w:sz w:val="24"/>
          <w:szCs w:val="24"/>
          <w:lang w:val="en-US"/>
        </w:rPr>
        <w:t xml:space="preserve">« New </w:t>
      </w:r>
      <w:proofErr w:type="gramStart"/>
      <w:r w:rsidRPr="004370A3">
        <w:rPr>
          <w:rFonts w:ascii="Times New Roman" w:hAnsi="Times New Roman" w:cs="Times New Roman"/>
          <w:sz w:val="24"/>
          <w:szCs w:val="24"/>
          <w:lang w:val="en-US"/>
        </w:rPr>
        <w:t>Caledonia :</w:t>
      </w:r>
      <w:proofErr w:type="gramEnd"/>
      <w:r w:rsidRPr="004370A3">
        <w:rPr>
          <w:rFonts w:ascii="Times New Roman" w:hAnsi="Times New Roman" w:cs="Times New Roman"/>
          <w:sz w:val="24"/>
          <w:szCs w:val="24"/>
          <w:lang w:val="en-US"/>
        </w:rPr>
        <w:t xml:space="preserve"> The day after »,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en-US"/>
        </w:rPr>
        <w:t>éd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Australian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>, en cours de rédaction (en anglais), à paraître, 201</w:t>
      </w:r>
      <w:r w:rsidR="004B70B2">
        <w:rPr>
          <w:rFonts w:ascii="Times New Roman" w:hAnsi="Times New Roman" w:cs="Times New Roman"/>
          <w:sz w:val="24"/>
          <w:szCs w:val="24"/>
        </w:rPr>
        <w:t>9</w:t>
      </w:r>
      <w:r w:rsidRPr="004370A3">
        <w:rPr>
          <w:rFonts w:ascii="Times New Roman" w:hAnsi="Times New Roman" w:cs="Times New Roman"/>
          <w:sz w:val="24"/>
          <w:szCs w:val="24"/>
        </w:rPr>
        <w:t>.</w:t>
      </w:r>
    </w:p>
    <w:p w:rsidR="004370A3" w:rsidRDefault="004370A3" w:rsidP="00AF65DD">
      <w:pPr>
        <w:spacing w:before="200"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370A3">
        <w:rPr>
          <w:rFonts w:ascii="Times New Roman" w:hAnsi="Times New Roman" w:cs="Times New Roman"/>
          <w:i/>
          <w:sz w:val="24"/>
          <w:szCs w:val="24"/>
          <w:u w:val="single"/>
        </w:rPr>
        <w:t>Etudes :</w:t>
      </w:r>
    </w:p>
    <w:p w:rsidR="00AF65DD" w:rsidRPr="00AF65DD" w:rsidRDefault="00AF65DD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« Les modalités d’organisation du référendum d’autodétermination calédonien »,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Revue juridique, politique et économique de la Nouvelle-Calédonie</w:t>
      </w:r>
      <w:r>
        <w:rPr>
          <w:rFonts w:ascii="Times New Roman" w:hAnsi="Times New Roman" w:cs="Times New Roman"/>
          <w:sz w:val="24"/>
          <w:szCs w:val="24"/>
          <w:lang w:val="fr-FR"/>
        </w:rPr>
        <w:t>, n° 31/2018, 7 pages.</w:t>
      </w:r>
    </w:p>
    <w:p w:rsidR="00255566" w:rsidRPr="00255566" w:rsidRDefault="00202564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FAD">
        <w:rPr>
          <w:rFonts w:ascii="Times New Roman" w:hAnsi="Times New Roman" w:cs="Times New Roman"/>
          <w:sz w:val="24"/>
          <w:szCs w:val="24"/>
        </w:rPr>
        <w:t>« </w:t>
      </w:r>
      <w:r w:rsidR="00255566" w:rsidRPr="00255566">
        <w:rPr>
          <w:rFonts w:ascii="Times New Roman" w:hAnsi="Times New Roman" w:cs="Times New Roman"/>
          <w:sz w:val="24"/>
          <w:szCs w:val="24"/>
        </w:rPr>
        <w:t>Management regimes in New Caledonia</w:t>
      </w:r>
      <w:r w:rsidRPr="008D7FAD">
        <w:rPr>
          <w:rFonts w:ascii="Times New Roman" w:hAnsi="Times New Roman" w:cs="Times New Roman"/>
          <w:sz w:val="24"/>
          <w:szCs w:val="24"/>
        </w:rPr>
        <w:t> »</w:t>
      </w:r>
      <w:r w:rsidR="00255566" w:rsidRPr="00255566">
        <w:rPr>
          <w:rFonts w:ascii="Times New Roman" w:hAnsi="Times New Roman" w:cs="Times New Roman"/>
          <w:sz w:val="24"/>
          <w:szCs w:val="24"/>
        </w:rPr>
        <w:t xml:space="preserve">, in C. Sheppard (dir.), World Seas: an environmental evaluation, </w:t>
      </w:r>
      <w:proofErr w:type="spellStart"/>
      <w:r w:rsidR="00255566" w:rsidRPr="00255566">
        <w:rPr>
          <w:rFonts w:ascii="Times New Roman" w:hAnsi="Times New Roman" w:cs="Times New Roman"/>
          <w:sz w:val="24"/>
          <w:szCs w:val="24"/>
        </w:rPr>
        <w:t>éd</w:t>
      </w:r>
      <w:proofErr w:type="spellEnd"/>
      <w:r w:rsidR="00255566" w:rsidRPr="00255566">
        <w:rPr>
          <w:rFonts w:ascii="Times New Roman" w:hAnsi="Times New Roman" w:cs="Times New Roman"/>
          <w:sz w:val="24"/>
          <w:szCs w:val="24"/>
        </w:rPr>
        <w:t xml:space="preserve">. </w:t>
      </w:r>
      <w:r w:rsidR="00255566" w:rsidRPr="00255566">
        <w:rPr>
          <w:rFonts w:ascii="Times New Roman" w:hAnsi="Times New Roman" w:cs="Times New Roman"/>
          <w:sz w:val="24"/>
          <w:szCs w:val="24"/>
          <w:lang w:val="fr-FR"/>
        </w:rPr>
        <w:t xml:space="preserve">Marine Pollution Bulletin, à paraitre en 2018. 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Co-écrit avec V. David (IRD – UMR GRED).</w:t>
      </w:r>
    </w:p>
    <w:p w:rsidR="00255566" w:rsidRPr="00255566" w:rsidRDefault="00255566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« </w:t>
      </w:r>
      <w:r w:rsidRPr="00255566">
        <w:rPr>
          <w:rFonts w:ascii="Times New Roman" w:hAnsi="Times New Roman" w:cs="Times New Roman"/>
          <w:sz w:val="24"/>
          <w:szCs w:val="24"/>
          <w:lang w:val="fr-FR"/>
        </w:rPr>
        <w:t>République</w:t>
      </w:r>
      <w:r>
        <w:rPr>
          <w:rFonts w:ascii="Times New Roman" w:hAnsi="Times New Roman" w:cs="Times New Roman"/>
          <w:sz w:val="24"/>
          <w:szCs w:val="24"/>
          <w:lang w:val="fr-FR"/>
        </w:rPr>
        <w:t> »</w:t>
      </w:r>
      <w:r w:rsidRPr="00255566">
        <w:rPr>
          <w:rFonts w:ascii="Times New Roman" w:hAnsi="Times New Roman" w:cs="Times New Roman"/>
          <w:sz w:val="24"/>
          <w:szCs w:val="24"/>
          <w:lang w:val="fr-FR"/>
        </w:rPr>
        <w:t>, in P. Brown (</w:t>
      </w:r>
      <w:proofErr w:type="spellStart"/>
      <w:r w:rsidRPr="00255566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255566">
        <w:rPr>
          <w:rFonts w:ascii="Times New Roman" w:hAnsi="Times New Roman" w:cs="Times New Roman"/>
          <w:sz w:val="24"/>
          <w:szCs w:val="24"/>
          <w:lang w:val="fr-FR"/>
        </w:rPr>
        <w:t>.), 101 mots pour comprendre l'Australie, éd. CDP, à paraitre en 2018.</w:t>
      </w:r>
    </w:p>
    <w:p w:rsidR="00255566" w:rsidRDefault="00255566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« Citoyenneté »</w:t>
      </w:r>
      <w:r w:rsidRPr="00255566">
        <w:rPr>
          <w:rFonts w:ascii="Times New Roman" w:hAnsi="Times New Roman" w:cs="Times New Roman"/>
          <w:sz w:val="24"/>
          <w:szCs w:val="24"/>
          <w:lang w:val="fr-FR"/>
        </w:rPr>
        <w:t>, in P. Brown (</w:t>
      </w:r>
      <w:proofErr w:type="spellStart"/>
      <w:r w:rsidRPr="00255566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255566">
        <w:rPr>
          <w:rFonts w:ascii="Times New Roman" w:hAnsi="Times New Roman" w:cs="Times New Roman"/>
          <w:sz w:val="24"/>
          <w:szCs w:val="24"/>
          <w:lang w:val="fr-FR"/>
        </w:rPr>
        <w:t>.), 101 mots pour comprendre l'Australie, éd. CDP, à paraitre en 2018.</w:t>
      </w:r>
    </w:p>
    <w:p w:rsidR="00255566" w:rsidRDefault="00255566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« Partis politiques »</w:t>
      </w:r>
      <w:r w:rsidRPr="00255566">
        <w:rPr>
          <w:rFonts w:ascii="Times New Roman" w:hAnsi="Times New Roman" w:cs="Times New Roman"/>
          <w:sz w:val="24"/>
          <w:szCs w:val="24"/>
          <w:lang w:val="fr-FR"/>
        </w:rPr>
        <w:t>, in P. Brown (</w:t>
      </w:r>
      <w:proofErr w:type="spellStart"/>
      <w:r w:rsidRPr="00255566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255566">
        <w:rPr>
          <w:rFonts w:ascii="Times New Roman" w:hAnsi="Times New Roman" w:cs="Times New Roman"/>
          <w:sz w:val="24"/>
          <w:szCs w:val="24"/>
          <w:lang w:val="fr-FR"/>
        </w:rPr>
        <w:t>.), 101 mots pour comprendre l'Australie, éd. CDP, à paraitre en 2018.</w:t>
      </w:r>
    </w:p>
    <w:p w:rsidR="00255566" w:rsidRDefault="00255566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« Générations volées »</w:t>
      </w:r>
      <w:r w:rsidRPr="00255566">
        <w:rPr>
          <w:rFonts w:ascii="Times New Roman" w:hAnsi="Times New Roman" w:cs="Times New Roman"/>
          <w:sz w:val="24"/>
          <w:szCs w:val="24"/>
          <w:lang w:val="fr-FR"/>
        </w:rPr>
        <w:t>, in P. Brown (</w:t>
      </w:r>
      <w:proofErr w:type="spellStart"/>
      <w:r w:rsidRPr="00255566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255566">
        <w:rPr>
          <w:rFonts w:ascii="Times New Roman" w:hAnsi="Times New Roman" w:cs="Times New Roman"/>
          <w:sz w:val="24"/>
          <w:szCs w:val="24"/>
          <w:lang w:val="fr-FR"/>
        </w:rPr>
        <w:t>.), 101 mots pour comprendre l'Australie, éd. CDP, à paraitre en 2018.</w:t>
      </w:r>
    </w:p>
    <w:p w:rsidR="00255566" w:rsidRDefault="00255566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Commonwealth »</w:t>
      </w:r>
      <w:r w:rsidRPr="00255566">
        <w:rPr>
          <w:rFonts w:ascii="Times New Roman" w:hAnsi="Times New Roman" w:cs="Times New Roman"/>
          <w:sz w:val="24"/>
          <w:szCs w:val="24"/>
          <w:lang w:val="fr-FR"/>
        </w:rPr>
        <w:t>, in P. Brown (</w:t>
      </w:r>
      <w:proofErr w:type="spellStart"/>
      <w:r w:rsidRPr="00255566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255566">
        <w:rPr>
          <w:rFonts w:ascii="Times New Roman" w:hAnsi="Times New Roman" w:cs="Times New Roman"/>
          <w:sz w:val="24"/>
          <w:szCs w:val="24"/>
          <w:lang w:val="fr-FR"/>
        </w:rPr>
        <w:t>.), 101 mots pour comprendre l'Australie, éd. CDP, à paraitre en 2018.</w:t>
      </w:r>
    </w:p>
    <w:p w:rsidR="00255566" w:rsidRPr="00255566" w:rsidRDefault="00255566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« Immigration »</w:t>
      </w:r>
      <w:r w:rsidRPr="00255566">
        <w:rPr>
          <w:rFonts w:ascii="Times New Roman" w:hAnsi="Times New Roman" w:cs="Times New Roman"/>
          <w:sz w:val="24"/>
          <w:szCs w:val="24"/>
          <w:lang w:val="fr-FR"/>
        </w:rPr>
        <w:t>, in P. Brown (</w:t>
      </w:r>
      <w:proofErr w:type="spellStart"/>
      <w:r w:rsidRPr="00255566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255566">
        <w:rPr>
          <w:rFonts w:ascii="Times New Roman" w:hAnsi="Times New Roman" w:cs="Times New Roman"/>
          <w:sz w:val="24"/>
          <w:szCs w:val="24"/>
          <w:lang w:val="fr-FR"/>
        </w:rPr>
        <w:t>.), 101 mots pour comprendre l'Australie, éd. CDP, à paraitre en 2018.</w:t>
      </w:r>
    </w:p>
    <w:p w:rsidR="004B70B2" w:rsidRDefault="004B70B2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5566">
        <w:rPr>
          <w:rFonts w:ascii="Times New Roman" w:hAnsi="Times New Roman" w:cs="Times New Roman"/>
          <w:sz w:val="24"/>
          <w:szCs w:val="24"/>
        </w:rPr>
        <w:t>« </w:t>
      </w:r>
      <w:r w:rsidRPr="004370A3">
        <w:rPr>
          <w:rFonts w:ascii="Times New Roman" w:hAnsi="Times New Roman" w:cs="Times New Roman"/>
          <w:sz w:val="24"/>
          <w:szCs w:val="24"/>
        </w:rPr>
        <w:t xml:space="preserve">New Caledonia constitutional transition », </w:t>
      </w:r>
      <w:r w:rsidRPr="004370A3">
        <w:rPr>
          <w:rFonts w:ascii="Times New Roman" w:hAnsi="Times New Roman" w:cs="Times New Roman"/>
          <w:i/>
          <w:sz w:val="24"/>
          <w:szCs w:val="24"/>
        </w:rPr>
        <w:t>State, Society and Governance in Melanesia Discussion Papers,</w:t>
      </w:r>
      <w:r w:rsidRPr="004370A3">
        <w:rPr>
          <w:rFonts w:ascii="Times New Roman" w:hAnsi="Times New Roman" w:cs="Times New Roman"/>
          <w:sz w:val="24"/>
          <w:szCs w:val="24"/>
        </w:rPr>
        <w:t xml:space="preserve"> Australian National University E-Press, à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paraître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370A3">
        <w:rPr>
          <w:rFonts w:ascii="Times New Roman" w:hAnsi="Times New Roman" w:cs="Times New Roman"/>
          <w:sz w:val="24"/>
          <w:szCs w:val="24"/>
        </w:rPr>
        <w:t>.</w:t>
      </w:r>
    </w:p>
    <w:p w:rsidR="00D509BF" w:rsidRPr="00D509BF" w:rsidRDefault="00D509BF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/>
          <w:sz w:val="24"/>
          <w:szCs w:val="24"/>
          <w:lang w:val="fr-FR"/>
        </w:rPr>
      </w:pPr>
      <w:r w:rsidRPr="00552A10">
        <w:rPr>
          <w:rFonts w:ascii="Times New Roman" w:hAnsi="Times New Roman"/>
          <w:sz w:val="24"/>
          <w:szCs w:val="24"/>
        </w:rPr>
        <w:t>« The census and the q</w:t>
      </w:r>
      <w:r>
        <w:rPr>
          <w:rFonts w:ascii="Times New Roman" w:hAnsi="Times New Roman"/>
          <w:sz w:val="24"/>
          <w:szCs w:val="24"/>
        </w:rPr>
        <w:t xml:space="preserve">uestion of </w:t>
      </w:r>
      <w:proofErr w:type="gramStart"/>
      <w:r>
        <w:rPr>
          <w:rFonts w:ascii="Times New Roman" w:hAnsi="Times New Roman"/>
          <w:sz w:val="24"/>
          <w:szCs w:val="24"/>
        </w:rPr>
        <w:t>ethnicity :</w:t>
      </w:r>
      <w:proofErr w:type="gramEnd"/>
      <w:r>
        <w:rPr>
          <w:rFonts w:ascii="Times New Roman" w:hAnsi="Times New Roman"/>
          <w:sz w:val="24"/>
          <w:szCs w:val="24"/>
        </w:rPr>
        <w:t xml:space="preserve"> the French approach in a comparative frame</w:t>
      </w:r>
      <w:r w:rsidRPr="00552A10">
        <w:rPr>
          <w:rFonts w:ascii="Times New Roman" w:hAnsi="Times New Roman"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 xml:space="preserve">, in P. Brown, J.-Y. </w:t>
      </w:r>
      <w:proofErr w:type="spellStart"/>
      <w:r>
        <w:rPr>
          <w:rFonts w:ascii="Times New Roman" w:hAnsi="Times New Roman"/>
          <w:sz w:val="24"/>
          <w:szCs w:val="24"/>
        </w:rPr>
        <w:t>Faberon</w:t>
      </w:r>
      <w:proofErr w:type="spellEnd"/>
      <w:r>
        <w:rPr>
          <w:rFonts w:ascii="Times New Roman" w:hAnsi="Times New Roman"/>
          <w:sz w:val="24"/>
          <w:szCs w:val="24"/>
        </w:rPr>
        <w:t xml:space="preserve"> (dir.), </w:t>
      </w:r>
      <w:r w:rsidRPr="0056066A">
        <w:rPr>
          <w:rFonts w:ascii="Times New Roman" w:hAnsi="Times New Roman"/>
          <w:i/>
          <w:sz w:val="24"/>
          <w:szCs w:val="24"/>
        </w:rPr>
        <w:t>Fates of the political communities of Oceania</w:t>
      </w:r>
      <w:r>
        <w:rPr>
          <w:rFonts w:ascii="Times New Roman" w:hAnsi="Times New Roman"/>
          <w:sz w:val="24"/>
          <w:szCs w:val="24"/>
        </w:rPr>
        <w:t xml:space="preserve">, ed. ANU Press, </w:t>
      </w:r>
      <w:r w:rsidRPr="004C1ACA">
        <w:rPr>
          <w:rFonts w:ascii="Times New Roman" w:hAnsi="Times New Roman"/>
          <w:sz w:val="24"/>
          <w:szCs w:val="24"/>
        </w:rPr>
        <w:t xml:space="preserve">à </w:t>
      </w:r>
      <w:proofErr w:type="spellStart"/>
      <w:r w:rsidRPr="004C1ACA">
        <w:rPr>
          <w:rFonts w:ascii="Times New Roman" w:hAnsi="Times New Roman"/>
          <w:sz w:val="24"/>
          <w:szCs w:val="24"/>
        </w:rPr>
        <w:t>paraître</w:t>
      </w:r>
      <w:proofErr w:type="spellEnd"/>
      <w:r w:rsidRPr="004C1A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1ACA">
        <w:rPr>
          <w:rFonts w:ascii="Times New Roman" w:hAnsi="Times New Roman"/>
          <w:sz w:val="24"/>
          <w:szCs w:val="24"/>
        </w:rPr>
        <w:t>en</w:t>
      </w:r>
      <w:proofErr w:type="spellEnd"/>
      <w:r w:rsidRPr="004C1ACA">
        <w:rPr>
          <w:rFonts w:ascii="Times New Roman" w:hAnsi="Times New Roman"/>
          <w:sz w:val="24"/>
          <w:szCs w:val="24"/>
        </w:rPr>
        <w:t xml:space="preserve"> 2018.</w:t>
      </w:r>
    </w:p>
    <w:p w:rsidR="004B70B2" w:rsidRPr="004370A3" w:rsidRDefault="004B70B2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Changement climatique et Territoire : vers un cadre juridique protecteur pour les déplacés environnementaux du Pacifique ? », in B.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Rigo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.),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Les nouvelles relations des Océaniens à leur terre et à leur environnement : Appartenance versus propriété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éd. Presses Universitaires de Nouvelle-Calédonie, à paraître en 201</w:t>
      </w:r>
      <w:r>
        <w:rPr>
          <w:rFonts w:ascii="Times New Roman" w:hAnsi="Times New Roman" w:cs="Times New Roman"/>
          <w:sz w:val="24"/>
          <w:szCs w:val="24"/>
          <w:lang w:val="fr-FR"/>
        </w:rPr>
        <w:t>8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B70B2" w:rsidRDefault="004B70B2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0A3">
        <w:rPr>
          <w:rFonts w:ascii="Times New Roman" w:hAnsi="Times New Roman" w:cs="Times New Roman"/>
          <w:sz w:val="24"/>
          <w:szCs w:val="24"/>
        </w:rPr>
        <w:t xml:space="preserve">« The status of New Caledonia in the French constitutional context », in S. Firth (dir.), </w:t>
      </w:r>
      <w:r w:rsidRPr="004370A3">
        <w:rPr>
          <w:rFonts w:ascii="Times New Roman" w:hAnsi="Times New Roman" w:cs="Times New Roman"/>
          <w:i/>
          <w:sz w:val="24"/>
          <w:szCs w:val="24"/>
        </w:rPr>
        <w:t xml:space="preserve">France in the </w:t>
      </w:r>
      <w:proofErr w:type="gramStart"/>
      <w:r w:rsidRPr="004370A3">
        <w:rPr>
          <w:rFonts w:ascii="Times New Roman" w:hAnsi="Times New Roman" w:cs="Times New Roman"/>
          <w:i/>
          <w:sz w:val="24"/>
          <w:szCs w:val="24"/>
        </w:rPr>
        <w:t>Pacific :</w:t>
      </w:r>
      <w:proofErr w:type="gramEnd"/>
      <w:r w:rsidRPr="004370A3">
        <w:rPr>
          <w:rFonts w:ascii="Times New Roman" w:hAnsi="Times New Roman" w:cs="Times New Roman"/>
          <w:i/>
          <w:sz w:val="24"/>
          <w:szCs w:val="24"/>
        </w:rPr>
        <w:t xml:space="preserve"> an update</w:t>
      </w:r>
      <w:r w:rsidRPr="004370A3">
        <w:rPr>
          <w:rFonts w:ascii="Times New Roman" w:hAnsi="Times New Roman" w:cs="Times New Roman"/>
          <w:sz w:val="24"/>
          <w:szCs w:val="24"/>
        </w:rPr>
        <w:t xml:space="preserve">, ANU Press, à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paraître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370A3">
        <w:rPr>
          <w:rFonts w:ascii="Times New Roman" w:hAnsi="Times New Roman" w:cs="Times New Roman"/>
          <w:sz w:val="24"/>
          <w:szCs w:val="24"/>
        </w:rPr>
        <w:t>.</w:t>
      </w:r>
    </w:p>
    <w:p w:rsidR="008D7FAD" w:rsidRPr="008D7FAD" w:rsidRDefault="008D7FAD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D7FAD">
        <w:rPr>
          <w:rFonts w:ascii="Times New Roman" w:hAnsi="Times New Roman" w:cs="Times New Roman"/>
          <w:sz w:val="24"/>
          <w:szCs w:val="24"/>
          <w:lang w:val="fr-FR"/>
        </w:rPr>
        <w:t xml:space="preserve">Repenser les institutions calédoniennes par le prisme du modèle de la démocratie consensuelle", </w:t>
      </w:r>
      <w:r w:rsidR="00AF65DD" w:rsidRPr="004370A3">
        <w:rPr>
          <w:rFonts w:ascii="Times New Roman" w:hAnsi="Times New Roman" w:cs="Times New Roman"/>
          <w:i/>
          <w:sz w:val="24"/>
          <w:szCs w:val="24"/>
          <w:lang w:val="fr-FR"/>
        </w:rPr>
        <w:t>Revue Juridique, Politique et Economique de la Nouvelle-Calédonie</w:t>
      </w:r>
      <w:r w:rsidRPr="008D7FAD">
        <w:rPr>
          <w:rFonts w:ascii="Times New Roman" w:hAnsi="Times New Roman" w:cs="Times New Roman"/>
          <w:sz w:val="24"/>
          <w:szCs w:val="24"/>
          <w:lang w:val="fr-FR"/>
        </w:rPr>
        <w:t>, n° 30</w:t>
      </w:r>
      <w:r w:rsidR="00AF65DD">
        <w:rPr>
          <w:rFonts w:ascii="Times New Roman" w:hAnsi="Times New Roman" w:cs="Times New Roman"/>
          <w:sz w:val="24"/>
          <w:szCs w:val="24"/>
          <w:lang w:val="fr-FR"/>
        </w:rPr>
        <w:t>/201</w:t>
      </w:r>
      <w:r w:rsidRPr="008D7FAD">
        <w:rPr>
          <w:rFonts w:ascii="Times New Roman" w:hAnsi="Times New Roman" w:cs="Times New Roman"/>
          <w:sz w:val="24"/>
          <w:szCs w:val="24"/>
          <w:lang w:val="fr-FR"/>
        </w:rPr>
        <w:t>7, pp. 114-119.</w:t>
      </w:r>
    </w:p>
    <w:p w:rsidR="004370A3" w:rsidRPr="004370A3" w:rsidRDefault="004B70B2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D7F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Start w:id="0" w:name="_Hlk506116553"/>
      <w:r w:rsidR="004370A3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Domanialité publique maritime et usages coutumiers en Nouvelle-Calédonie », in J.-L. </w:t>
      </w:r>
      <w:proofErr w:type="spellStart"/>
      <w:r w:rsidR="004370A3" w:rsidRPr="004370A3">
        <w:rPr>
          <w:rFonts w:ascii="Times New Roman" w:hAnsi="Times New Roman" w:cs="Times New Roman"/>
          <w:sz w:val="24"/>
          <w:szCs w:val="24"/>
          <w:lang w:val="fr-FR"/>
        </w:rPr>
        <w:t>Pissaloux</w:t>
      </w:r>
      <w:proofErr w:type="spellEnd"/>
      <w:r w:rsidR="004370A3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et A. </w:t>
      </w:r>
      <w:proofErr w:type="spellStart"/>
      <w:r w:rsidR="004370A3" w:rsidRPr="004370A3">
        <w:rPr>
          <w:rFonts w:ascii="Times New Roman" w:hAnsi="Times New Roman" w:cs="Times New Roman"/>
          <w:sz w:val="24"/>
          <w:szCs w:val="24"/>
          <w:lang w:val="fr-FR"/>
        </w:rPr>
        <w:t>Rainaud</w:t>
      </w:r>
      <w:proofErr w:type="spellEnd"/>
      <w:r w:rsidR="004370A3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="004370A3" w:rsidRPr="004370A3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="004370A3" w:rsidRPr="004370A3">
        <w:rPr>
          <w:rFonts w:ascii="Times New Roman" w:hAnsi="Times New Roman" w:cs="Times New Roman"/>
          <w:sz w:val="24"/>
          <w:szCs w:val="24"/>
          <w:lang w:val="fr-FR"/>
        </w:rPr>
        <w:t>.), « </w:t>
      </w:r>
      <w:r w:rsidR="004370A3" w:rsidRPr="004370A3">
        <w:rPr>
          <w:rFonts w:ascii="Times New Roman" w:hAnsi="Times New Roman" w:cs="Times New Roman"/>
          <w:i/>
          <w:sz w:val="24"/>
          <w:szCs w:val="24"/>
          <w:lang w:val="fr-FR"/>
        </w:rPr>
        <w:t>Les 30 ans de la loi littoral »</w:t>
      </w:r>
      <w:r w:rsidR="004370A3" w:rsidRPr="004370A3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31861">
        <w:rPr>
          <w:rFonts w:ascii="Times New Roman" w:hAnsi="Times New Roman" w:cs="Times New Roman"/>
          <w:sz w:val="24"/>
          <w:szCs w:val="24"/>
          <w:lang w:val="fr-FR"/>
        </w:rPr>
        <w:t xml:space="preserve"> Ed. </w:t>
      </w:r>
      <w:proofErr w:type="spellStart"/>
      <w:r w:rsidR="00E31861">
        <w:rPr>
          <w:rFonts w:ascii="Times New Roman" w:hAnsi="Times New Roman" w:cs="Times New Roman"/>
          <w:sz w:val="24"/>
          <w:szCs w:val="24"/>
          <w:lang w:val="fr-FR"/>
        </w:rPr>
        <w:t>L’Harmattan</w:t>
      </w:r>
      <w:proofErr w:type="spellEnd"/>
      <w:r w:rsidR="00E31861">
        <w:rPr>
          <w:rFonts w:ascii="Times New Roman" w:hAnsi="Times New Roman" w:cs="Times New Roman"/>
          <w:sz w:val="24"/>
          <w:szCs w:val="24"/>
          <w:lang w:val="fr-FR"/>
        </w:rPr>
        <w:t>, Coll. GRALE</w:t>
      </w:r>
      <w:r w:rsidR="004370A3" w:rsidRPr="004370A3">
        <w:rPr>
          <w:rFonts w:ascii="Times New Roman" w:hAnsi="Times New Roman" w:cs="Times New Roman"/>
          <w:sz w:val="24"/>
          <w:szCs w:val="24"/>
          <w:lang w:val="fr-FR"/>
        </w:rPr>
        <w:t>, 2017</w:t>
      </w:r>
      <w:bookmarkEnd w:id="0"/>
      <w:r w:rsidR="00D509BF">
        <w:rPr>
          <w:rFonts w:ascii="Times New Roman" w:hAnsi="Times New Roman" w:cs="Times New Roman"/>
          <w:sz w:val="24"/>
          <w:szCs w:val="24"/>
          <w:lang w:val="fr-FR"/>
        </w:rPr>
        <w:t>, pp. 297-312.</w:t>
      </w:r>
    </w:p>
    <w:p w:rsidR="004370A3" w:rsidRPr="00AF65DD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1" w:name="_Hlk506115559"/>
      <w:r w:rsidRPr="00AF65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« Les transitions politiques en Mélanésie, éléments de réflexion pour la préparation du « jour d’après » en Nouvelle-Calédonie », </w:t>
      </w:r>
      <w:r w:rsidRPr="00AF65DD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Revue Française de Droit Constitutionnel, </w:t>
      </w:r>
      <w:r w:rsidR="00E31861" w:rsidRPr="00AF65DD">
        <w:rPr>
          <w:rFonts w:ascii="Times New Roman" w:hAnsi="Times New Roman" w:cs="Times New Roman"/>
          <w:b/>
          <w:sz w:val="24"/>
          <w:szCs w:val="24"/>
          <w:lang w:val="fr-FR"/>
        </w:rPr>
        <w:t>n° 110, 2017/2, pp. 367-386</w:t>
      </w:r>
      <w:r w:rsidRPr="00AF65DD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  <w:r w:rsidR="00AF65DD" w:rsidRPr="00AF65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Article joint au dossier de candidature.</w:t>
      </w:r>
    </w:p>
    <w:p w:rsidR="00D509BF" w:rsidRPr="00D509BF" w:rsidRDefault="00D509BF" w:rsidP="00AF65DD">
      <w:pPr>
        <w:pStyle w:val="Paragraphedeliste"/>
        <w:numPr>
          <w:ilvl w:val="0"/>
          <w:numId w:val="1"/>
        </w:numPr>
        <w:tabs>
          <w:tab w:val="left" w:pos="284"/>
        </w:tabs>
        <w:spacing w:after="120"/>
        <w:ind w:left="284" w:hanging="284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AF65D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D509B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« Constitutional design: Special autonomy and other measures – The case of New Caledonia », in Constitution-building in states with territorially based societal conflict, </w:t>
      </w:r>
      <w:proofErr w:type="spellStart"/>
      <w:r w:rsidRPr="00D509BF">
        <w:rPr>
          <w:rFonts w:ascii="Times New Roman" w:eastAsiaTheme="minorEastAsia" w:hAnsi="Times New Roman" w:cs="Times New Roman"/>
          <w:sz w:val="24"/>
          <w:szCs w:val="24"/>
          <w:lang w:val="en-US"/>
        </w:rPr>
        <w:t>Actes</w:t>
      </w:r>
      <w:proofErr w:type="spellEnd"/>
      <w:r w:rsidRPr="00D509B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du Forum sur Constitution Building in Asia and the Pacific des 18 et 19 </w:t>
      </w:r>
      <w:proofErr w:type="spellStart"/>
      <w:r w:rsidRPr="00D509BF">
        <w:rPr>
          <w:rFonts w:ascii="Times New Roman" w:eastAsiaTheme="minorEastAsia" w:hAnsi="Times New Roman" w:cs="Times New Roman"/>
          <w:sz w:val="24"/>
          <w:szCs w:val="24"/>
          <w:lang w:val="en-US"/>
        </w:rPr>
        <w:t>août</w:t>
      </w:r>
      <w:proofErr w:type="spellEnd"/>
      <w:r w:rsidRPr="00D509B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2016, Melbourne (</w:t>
      </w:r>
      <w:proofErr w:type="spellStart"/>
      <w:r w:rsidRPr="00D509BF">
        <w:rPr>
          <w:rFonts w:ascii="Times New Roman" w:eastAsiaTheme="minorEastAsia" w:hAnsi="Times New Roman" w:cs="Times New Roman"/>
          <w:sz w:val="24"/>
          <w:szCs w:val="24"/>
          <w:lang w:val="en-US"/>
        </w:rPr>
        <w:t>Australie</w:t>
      </w:r>
      <w:proofErr w:type="spellEnd"/>
      <w:r w:rsidRPr="00D509BF">
        <w:rPr>
          <w:rFonts w:ascii="Times New Roman" w:eastAsiaTheme="minorEastAsia" w:hAnsi="Times New Roman" w:cs="Times New Roman"/>
          <w:sz w:val="24"/>
          <w:szCs w:val="24"/>
          <w:lang w:val="en-US"/>
        </w:rPr>
        <w:t>), ed. International Institute for Democracy and Electoral Assistance (IDEA), 2017.</w:t>
      </w:r>
    </w:p>
    <w:bookmarkEnd w:id="1"/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Les aspects juridiques de l’exploitation minière sous-marine en Polynésie française », in S. Al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Wardi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et J.-M.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Reignaut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>.), « 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Océanie convoitée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 », éd</w:t>
      </w:r>
      <w:r w:rsidR="00E31861">
        <w:rPr>
          <w:rFonts w:ascii="Times New Roman" w:hAnsi="Times New Roman" w:cs="Times New Roman"/>
          <w:sz w:val="24"/>
          <w:szCs w:val="24"/>
          <w:lang w:val="fr-FR"/>
        </w:rPr>
        <w:t>. ‘Api Tahiti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2017.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>« L’incomplétude du contrôle de la loi du pays », in C. David (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.),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15 ans de lois du pays – Sur les chemins de la maturité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éd. PUAM, Coll. Droit d’outre-Mer, 2016, p. 97-108.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Démocratie et Constitution aux Iles Salomon : à la recherche d’une Constitution de conception salomonaise », in F.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Faberon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.),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« Diversité de la démocratie. Théorie et comparatisme : les pays de la Mélanésie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», éd. Centre Michel de l’Hospital, 2016, p. 199-216.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 « Contraintes et référentiels juridiques de l’exploitation minière sous-marine en Polynésie française », in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L’exploitation minière sous-marine en Polynésie française,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Expertise collégiale IRD, éd. Expertises collégiales IRD, 2016.</w:t>
      </w:r>
    </w:p>
    <w:p w:rsidR="004370A3" w:rsidRPr="00AF65DD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F65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bookmarkStart w:id="2" w:name="_Hlk506115899"/>
      <w:r w:rsidRPr="00AF65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« La fixation des « conditions et limites » du droit de participation en matière environnementale en Polynésie française et en Nouvelle-Calédonie », </w:t>
      </w:r>
      <w:r w:rsidRPr="00AF65DD">
        <w:rPr>
          <w:rFonts w:ascii="Times New Roman" w:hAnsi="Times New Roman" w:cs="Times New Roman"/>
          <w:b/>
          <w:i/>
          <w:sz w:val="24"/>
          <w:szCs w:val="24"/>
          <w:lang w:val="fr-FR"/>
        </w:rPr>
        <w:t>Revue Juridique de l’Environnement</w:t>
      </w:r>
      <w:r w:rsidRPr="00AF65DD">
        <w:rPr>
          <w:rFonts w:ascii="Times New Roman" w:hAnsi="Times New Roman" w:cs="Times New Roman"/>
          <w:b/>
          <w:sz w:val="24"/>
          <w:szCs w:val="24"/>
          <w:lang w:val="fr-FR"/>
        </w:rPr>
        <w:t>, 2015/4, pp. 617-632.</w:t>
      </w:r>
      <w:bookmarkEnd w:id="2"/>
      <w:r w:rsidR="00AF65DD" w:rsidRPr="00AF65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Article joint au dossier de candidature.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Les théories consociative et incitative au secours du Gouvernement de la Nouvelle-Calédonie »,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Revue Juridique, Politique et Economique de la Nouvelle-Calédonie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n° 25/2015, pp. 7-13.</w:t>
      </w:r>
    </w:p>
    <w:p w:rsidR="004370A3" w:rsidRPr="004370A3" w:rsidRDefault="004370A3" w:rsidP="00AF65DD">
      <w:pPr>
        <w:pStyle w:val="Paragraphedeliste"/>
        <w:numPr>
          <w:ilvl w:val="0"/>
          <w:numId w:val="1"/>
        </w:numPr>
        <w:spacing w:after="120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370A3">
        <w:rPr>
          <w:rFonts w:ascii="Times New Roman" w:eastAsiaTheme="minorEastAsia" w:hAnsi="Times New Roman" w:cs="Times New Roman"/>
          <w:sz w:val="24"/>
          <w:szCs w:val="24"/>
        </w:rPr>
        <w:t>« Réflexions sur le rôle du juge dans la définition d’une éthique nouvelle du développement durable dans le cadre océanien », in S. Blaise, V. David et C. David (</w:t>
      </w:r>
      <w:proofErr w:type="spellStart"/>
      <w:r w:rsidRPr="004370A3">
        <w:rPr>
          <w:rFonts w:ascii="Times New Roman" w:eastAsiaTheme="minorEastAsia" w:hAnsi="Times New Roman" w:cs="Times New Roman"/>
          <w:sz w:val="24"/>
          <w:szCs w:val="24"/>
        </w:rPr>
        <w:t>dir</w:t>
      </w:r>
      <w:proofErr w:type="spellEnd"/>
      <w:r w:rsidRPr="004370A3">
        <w:rPr>
          <w:rFonts w:ascii="Times New Roman" w:eastAsiaTheme="minorEastAsia" w:hAnsi="Times New Roman" w:cs="Times New Roman"/>
          <w:sz w:val="24"/>
          <w:szCs w:val="24"/>
        </w:rPr>
        <w:t xml:space="preserve">.), </w:t>
      </w:r>
      <w:r w:rsidRPr="004370A3">
        <w:rPr>
          <w:rFonts w:ascii="Times New Roman" w:eastAsiaTheme="minorEastAsia" w:hAnsi="Times New Roman" w:cs="Times New Roman"/>
          <w:i/>
          <w:sz w:val="24"/>
          <w:szCs w:val="24"/>
        </w:rPr>
        <w:t xml:space="preserve">Le développement durable en Océanie – Vers une éthique </w:t>
      </w:r>
      <w:proofErr w:type="gramStart"/>
      <w:r w:rsidRPr="004370A3">
        <w:rPr>
          <w:rFonts w:ascii="Times New Roman" w:eastAsiaTheme="minorEastAsia" w:hAnsi="Times New Roman" w:cs="Times New Roman"/>
          <w:i/>
          <w:sz w:val="24"/>
          <w:szCs w:val="24"/>
        </w:rPr>
        <w:t>nouvelle ?</w:t>
      </w:r>
      <w:r w:rsidRPr="004370A3">
        <w:rPr>
          <w:rFonts w:ascii="Times New Roman" w:eastAsiaTheme="minorEastAsia" w:hAnsi="Times New Roman" w:cs="Times New Roman"/>
          <w:sz w:val="24"/>
          <w:szCs w:val="24"/>
        </w:rPr>
        <w:t>,</w:t>
      </w:r>
      <w:proofErr w:type="gramEnd"/>
      <w:r w:rsidRPr="004370A3">
        <w:rPr>
          <w:rFonts w:ascii="Times New Roman" w:eastAsiaTheme="minorEastAsia" w:hAnsi="Times New Roman" w:cs="Times New Roman"/>
          <w:sz w:val="24"/>
          <w:szCs w:val="24"/>
        </w:rPr>
        <w:t xml:space="preserve"> éd. PUAM/PUP, Coll. Développement Durable, 2015, pp. 185-196.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Commentaire de la décision n° 2014-392 QPC du 25 avril 2014 »,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Revue Française de Droit Constitutionnel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n° 101, 2015/2, pp. 181-185.</w:t>
      </w:r>
    </w:p>
    <w:p w:rsidR="004370A3" w:rsidRPr="004370A3" w:rsidRDefault="004370A3" w:rsidP="00AF65DD">
      <w:pPr>
        <w:pStyle w:val="Paragraphedeliste"/>
        <w:numPr>
          <w:ilvl w:val="0"/>
          <w:numId w:val="1"/>
        </w:numPr>
        <w:spacing w:after="120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370A3">
        <w:rPr>
          <w:rFonts w:ascii="Times New Roman" w:eastAsiaTheme="minorEastAsia" w:hAnsi="Times New Roman" w:cs="Times New Roman"/>
          <w:sz w:val="24"/>
          <w:szCs w:val="24"/>
        </w:rPr>
        <w:t>« Sources et partage de compétences en droit du patrimoine naturel et culturel », in G. Nicolas et C. Castets Renard (</w:t>
      </w:r>
      <w:proofErr w:type="spellStart"/>
      <w:r w:rsidRPr="004370A3">
        <w:rPr>
          <w:rFonts w:ascii="Times New Roman" w:eastAsiaTheme="minorEastAsia" w:hAnsi="Times New Roman" w:cs="Times New Roman"/>
          <w:sz w:val="24"/>
          <w:szCs w:val="24"/>
        </w:rPr>
        <w:t>dir</w:t>
      </w:r>
      <w:proofErr w:type="spellEnd"/>
      <w:r w:rsidRPr="004370A3">
        <w:rPr>
          <w:rFonts w:ascii="Times New Roman" w:eastAsiaTheme="minorEastAsia" w:hAnsi="Times New Roman" w:cs="Times New Roman"/>
          <w:sz w:val="24"/>
          <w:szCs w:val="24"/>
        </w:rPr>
        <w:t xml:space="preserve">.), </w:t>
      </w:r>
      <w:r w:rsidRPr="004370A3">
        <w:rPr>
          <w:rFonts w:ascii="Times New Roman" w:eastAsiaTheme="minorEastAsia" w:hAnsi="Times New Roman" w:cs="Times New Roman"/>
          <w:i/>
          <w:sz w:val="24"/>
          <w:szCs w:val="24"/>
        </w:rPr>
        <w:t>Patrimoine naturel et culturel de la Nouvelle-Calédonie – Aspects juridiques</w:t>
      </w:r>
      <w:r w:rsidRPr="004370A3">
        <w:rPr>
          <w:rFonts w:ascii="Times New Roman" w:eastAsiaTheme="minorEastAsia" w:hAnsi="Times New Roman" w:cs="Times New Roman"/>
          <w:sz w:val="24"/>
          <w:szCs w:val="24"/>
        </w:rPr>
        <w:t xml:space="preserve">, éd. </w:t>
      </w:r>
      <w:proofErr w:type="spellStart"/>
      <w:r w:rsidRPr="004370A3">
        <w:rPr>
          <w:rFonts w:ascii="Times New Roman" w:eastAsiaTheme="minorEastAsia" w:hAnsi="Times New Roman" w:cs="Times New Roman"/>
          <w:sz w:val="24"/>
          <w:szCs w:val="24"/>
        </w:rPr>
        <w:t>L’Harmattan</w:t>
      </w:r>
      <w:proofErr w:type="spellEnd"/>
      <w:r w:rsidRPr="004370A3">
        <w:rPr>
          <w:rFonts w:ascii="Times New Roman" w:eastAsiaTheme="minorEastAsia" w:hAnsi="Times New Roman" w:cs="Times New Roman"/>
          <w:sz w:val="24"/>
          <w:szCs w:val="24"/>
        </w:rPr>
        <w:t>, 2015, pp.79-96.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Chroniques de Jurisprudence Administrative en Nouvelle-Calédonie,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Revue Juridique, Politique et Economique de la Nouvelle-Calédonie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n° 22 à 25 (2013 à 2015).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>« La prise en compte de la diversité culturelle lors des transitions constitutionnelles : analyse à partir du cas des États du Pacifique insulaire », Colloque de l’Association Française des constitutionnalistes, Lyon, 26 juin 2014. Téléchargeable sur le site de l’AFDC.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La compétence de droit commun des provinces - Analyse au travers du prisme de la compétence environnementale »,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Revue Juridique, Politique et Economique de la Nouvelle-Calédonie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n° 24/2014, pp. 106-116. Co-écrit avec V. David (IRD – UMR GRED).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>« La mise en place du Gouvernement « 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Ligeard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 » »,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Revue Juridique, Politique et Economique de la Nouvelle-Calédonie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n° 24/2014, pp. 100-105.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 Lois du pays et question prioritaire de constitutionnalité : Vers une progression de l’état de droit en Nouvelle-Calédonie »,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Revue Française de Droit Constitutionnel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, n° 98, 2014/2, </w:t>
      </w:r>
      <w:bookmarkStart w:id="3" w:name="_Hlk506115664"/>
      <w:r w:rsidRPr="004370A3">
        <w:rPr>
          <w:rFonts w:ascii="Times New Roman" w:hAnsi="Times New Roman" w:cs="Times New Roman"/>
          <w:sz w:val="24"/>
          <w:szCs w:val="24"/>
          <w:lang w:val="fr-FR"/>
        </w:rPr>
        <w:t>pp. 317-344</w:t>
      </w:r>
      <w:bookmarkEnd w:id="3"/>
      <w:r w:rsidRPr="004370A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 Commentaire de la décision n° 2013-308 QPC du 26 avril 2013 - Le difficile positionnement du Conseil constitutionnel par rapport à la loi du pays : entre assimilation et reconnaissance des spécificités »,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Revue Française de Droit Constitutionnel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n° 95, 2013/3, pp. 977-982.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>« Protection du corps humain et préservation de la nature », in G. Nicolas (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.),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Corps et patrimoine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éd. Les Etudes Hospitalières, Les cahiers de droit de la santé, n° 18, 2013, pp. 527-554.</w:t>
      </w:r>
    </w:p>
    <w:p w:rsidR="004370A3" w:rsidRPr="004370A3" w:rsidRDefault="004370A3" w:rsidP="00AF65DD">
      <w:pPr>
        <w:pStyle w:val="Paragraphedeliste"/>
        <w:numPr>
          <w:ilvl w:val="0"/>
          <w:numId w:val="1"/>
        </w:numPr>
        <w:spacing w:after="120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370A3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« Le Sénat coutumier de Nouvelle-Calédonie : une institution en mutation ? », in M. </w:t>
      </w:r>
      <w:proofErr w:type="spellStart"/>
      <w:r w:rsidRPr="004370A3">
        <w:rPr>
          <w:rFonts w:ascii="Times New Roman" w:eastAsiaTheme="minorEastAsia" w:hAnsi="Times New Roman" w:cs="Times New Roman"/>
          <w:sz w:val="24"/>
          <w:szCs w:val="24"/>
        </w:rPr>
        <w:t>Tabani</w:t>
      </w:r>
      <w:proofErr w:type="spellEnd"/>
      <w:r w:rsidRPr="004370A3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Pr="004370A3">
        <w:rPr>
          <w:rFonts w:ascii="Times New Roman" w:eastAsiaTheme="minorEastAsia" w:hAnsi="Times New Roman" w:cs="Times New Roman"/>
          <w:sz w:val="24"/>
          <w:szCs w:val="24"/>
        </w:rPr>
        <w:t>dir</w:t>
      </w:r>
      <w:proofErr w:type="spellEnd"/>
      <w:r w:rsidRPr="004370A3">
        <w:rPr>
          <w:rFonts w:ascii="Times New Roman" w:eastAsiaTheme="minorEastAsia" w:hAnsi="Times New Roman" w:cs="Times New Roman"/>
          <w:sz w:val="24"/>
          <w:szCs w:val="24"/>
        </w:rPr>
        <w:t xml:space="preserve">.), </w:t>
      </w:r>
      <w:r w:rsidRPr="004370A3">
        <w:rPr>
          <w:rFonts w:ascii="Times New Roman" w:eastAsiaTheme="minorEastAsia" w:hAnsi="Times New Roman" w:cs="Times New Roman"/>
          <w:i/>
          <w:sz w:val="24"/>
          <w:szCs w:val="24"/>
        </w:rPr>
        <w:t>Cultures, sociétés et environnement à Vanuatu et dans le Pacifique</w:t>
      </w:r>
      <w:r w:rsidRPr="004370A3">
        <w:rPr>
          <w:rFonts w:ascii="Times New Roman" w:eastAsiaTheme="minorEastAsia" w:hAnsi="Times New Roman" w:cs="Times New Roman"/>
          <w:sz w:val="24"/>
          <w:szCs w:val="24"/>
        </w:rPr>
        <w:t>, éd. VKS/Pacific Dialogues, 2013, pp. 175-193.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« Commentaire de la décision du Conseil constitutionnel n° 2013-4866 AN du 24 mai 2013 »,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Revue Juridique, Politique et Economique de la Nouvelle-Calédonie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n° 20/2013.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« L’assimilation du régime des lois du pays à celui des lois nationales dans le cadre de la QPC »,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Revue Française de Droit Constitutionnel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n° 2012/4, pp. 863-866.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Le rôle du juge constitutionnel dans la détermination de la portée du droit à l’environnement - Approche comparée », in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Changements environnementaux globaux et Droits de l'Homme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, éd. Bruylant, 2012, pp. 271-288. 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L’initiative marocaine pour le Sahara Occidental vue par le prisme du statut d’autonomie de la Nouvelle-Calédonie », in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La Gouvernance dans les statuts d’autonomie : institutions et mécanismes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éd. du Conseil des Droits de l’Homme des Nations Unies, 2012, pp. 17-34.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>« Réflexions sur l’intégration de la coutume autochtone dans l’élaboration de la norme à partir du cas de la Nouvelle-Calédonie», in N. Meyer et C. David (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.),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L’intégration de la coutume dans l’élaboration de la norme environnementale – Eléments d’ici et d’ailleurs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éd. Bruylant, 2012, pp. 197-214.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Commentaire de l’ouvrage de Jean-Yves FABERON, « Des institutions pour un pays – La Nouvelle-Calédonie en devenir »,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Revue Juridique, Politique et Economique de la Nouvelle-Calédonie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n° 19, p. 135.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</w:rPr>
        <w:t xml:space="preserve">« New provincial environmental legislation in New Caledonia : continuity and reform in environmental governance in a French pacific territory », </w:t>
      </w:r>
      <w:r w:rsidRPr="004370A3">
        <w:rPr>
          <w:rFonts w:ascii="Times New Roman" w:hAnsi="Times New Roman" w:cs="Times New Roman"/>
          <w:i/>
          <w:sz w:val="24"/>
          <w:szCs w:val="24"/>
        </w:rPr>
        <w:t>Asia Pacific Journal of Environmental Law</w:t>
      </w:r>
      <w:r w:rsidRPr="004370A3">
        <w:rPr>
          <w:rFonts w:ascii="Times New Roman" w:hAnsi="Times New Roman" w:cs="Times New Roman"/>
          <w:sz w:val="24"/>
          <w:szCs w:val="24"/>
        </w:rPr>
        <w:t xml:space="preserve">, n° 13, 2011, pp. 135-145. 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Co-écrit avec Pepe Clarke, Consultant IUCN.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Le recensement ethnique comme outil de politique publique » : in J.-Y.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Faberon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, J.-M. Regnault et V.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Fayaud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.),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Destins des collectivités politiques d’Océanie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éd. PUAM, coll. Droit d’outre-mer, 2011, p.675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softHyphen/>
        <w:t>-685.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Quel bicamérisme pour la Nouvelle-Calédonie ? », Revue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Politéïa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, n° 20, 2011, pp. 175-186. 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La loi du pays calédonienne - Eléments juridiques et politiques », in M.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Debene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et J.-P.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Pastorel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.),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La “loi du pays” en Polynésie française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, éd.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L’Harmattan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>, coll. Portes Océanes, 2011, pp. 21-38.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La nécessaire évolution des concepts juridiques pour une protection réaliste de la biodiversité en Nouvelle-Calédonie », </w:t>
      </w:r>
      <w:proofErr w:type="spellStart"/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Ethnopharmacologia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>, n° 46, 2010, pp. 26-30.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« La question prioritaire de constitutionnalité à l’égard des dispositions d’une loi du pays de Nouvelle-Calédonie »,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Revue Juridique, politique et économique de Nouvelle-Calédonie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n° 15, 2010/1, p. 65-69.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L’expérience calédonienne de répartition des compétences, voie à suivre ou modèle 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br/>
        <w:t>spécifique ? », in J.-F. Brisson (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.),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Les transferts de compétences de l’Etat aux collectivités locales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, éd.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L’Harmattan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>, 2009.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 « Pour une approche renouvelée du droit français de la domanialité publique »,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Les Petites Affiches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2007, n° 165, pp. 3-14.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«Le partage de la compétence environnementale en Nouvelle-Calédonie»,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Revue Juridique de l’Environnement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Numéro spécial, 2007, pp. 33-43.</w:t>
      </w:r>
    </w:p>
    <w:p w:rsid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4370A3">
        <w:rPr>
          <w:rFonts w:ascii="Times New Roman" w:hAnsi="Times New Roman" w:cs="Times New Roman"/>
          <w:sz w:val="24"/>
          <w:szCs w:val="24"/>
          <w:lang w:val="fr-FR"/>
        </w:rPr>
        <w:t>«Le</w:t>
      </w:r>
      <w:proofErr w:type="gram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pouvoir réglementaire d'organisation du service: une jurisprudence toujours en mouvement »,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Droit administratif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février 2006, pp. 11-17.</w:t>
      </w:r>
    </w:p>
    <w:p w:rsidR="00E65A87" w:rsidRPr="004370A3" w:rsidRDefault="00E65A87" w:rsidP="00E65A87">
      <w:pPr>
        <w:pStyle w:val="Corpsdetexte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370A3" w:rsidRPr="00E65A87" w:rsidRDefault="004370A3" w:rsidP="00E65A87">
      <w:pPr>
        <w:spacing w:before="120" w:after="120" w:line="260" w:lineRule="atLeast"/>
        <w:ind w:left="-284"/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</w:pPr>
      <w:r w:rsidRPr="00E65A87"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  <w:t>Communications</w:t>
      </w:r>
      <w:r w:rsidR="004B5142" w:rsidRPr="00E65A87"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  <w:t xml:space="preserve"> orales sans publication des actes</w:t>
      </w:r>
      <w:r w:rsidRPr="00E65A87"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  <w:t> :</w:t>
      </w:r>
    </w:p>
    <w:p w:rsidR="00E65A87" w:rsidRPr="00E65A87" w:rsidRDefault="00E65A87" w:rsidP="00E65A87">
      <w:pPr>
        <w:pStyle w:val="Corpsdetexte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« </w:t>
      </w:r>
      <w:r w:rsidRPr="00E65A87">
        <w:rPr>
          <w:rFonts w:ascii="Times New Roman" w:hAnsi="Times New Roman" w:cs="Times New Roman"/>
          <w:sz w:val="24"/>
          <w:szCs w:val="24"/>
          <w:lang w:val="fr-FR"/>
        </w:rPr>
        <w:t>Les outils institutionnels en société divisée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r w:rsidRPr="00E65A87">
        <w:rPr>
          <w:rFonts w:ascii="Times New Roman" w:hAnsi="Times New Roman" w:cs="Times New Roman"/>
          <w:sz w:val="24"/>
          <w:szCs w:val="24"/>
          <w:lang w:val="fr-FR"/>
        </w:rPr>
        <w:t>Contribution à la réflexion sur l’avenir institutionnel de la Nouvelle-Calédonie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 », in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Séminaire Interinstitutionnel en SHS en Nouvelle-Calédonie,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Institut de Recherche pour le Développement (Nouméa – Nouvelle-Calédonie), 7 mars 2018. Retransmis sur la chaine télévision Caledonia TV le 24 mars 2018.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 </w:t>
      </w:r>
      <w:r w:rsidRPr="004370A3">
        <w:rPr>
          <w:rFonts w:ascii="Times New Roman" w:hAnsi="Times New Roman" w:cs="Times New Roman"/>
          <w:bCs/>
          <w:iCs/>
          <w:sz w:val="24"/>
          <w:szCs w:val="24"/>
        </w:rPr>
        <w:t xml:space="preserve">Introducing the principle of non-regression and the rights of nature in the Loyalty Islands Province Environmental Code », in </w:t>
      </w:r>
      <w:r w:rsidRPr="004370A3">
        <w:rPr>
          <w:rFonts w:ascii="Times New Roman" w:hAnsi="Times New Roman" w:cs="Times New Roman"/>
          <w:bCs/>
          <w:i/>
          <w:iCs/>
          <w:sz w:val="24"/>
          <w:szCs w:val="24"/>
        </w:rPr>
        <w:t>Communities acting for sustainability in the Pacific,</w:t>
      </w:r>
      <w:r w:rsidRPr="004370A3">
        <w:rPr>
          <w:rFonts w:ascii="Times New Roman" w:hAnsi="Times New Roman" w:cs="Times New Roman"/>
          <w:bCs/>
          <w:iCs/>
          <w:sz w:val="24"/>
          <w:szCs w:val="24"/>
        </w:rPr>
        <w:t xml:space="preserve"> University of Wollongong (</w:t>
      </w:r>
      <w:proofErr w:type="spellStart"/>
      <w:r w:rsidRPr="004370A3">
        <w:rPr>
          <w:rFonts w:ascii="Times New Roman" w:hAnsi="Times New Roman" w:cs="Times New Roman"/>
          <w:bCs/>
          <w:iCs/>
          <w:sz w:val="24"/>
          <w:szCs w:val="24"/>
        </w:rPr>
        <w:t>Australie</w:t>
      </w:r>
      <w:proofErr w:type="spellEnd"/>
      <w:r w:rsidRPr="004370A3">
        <w:rPr>
          <w:rFonts w:ascii="Times New Roman" w:hAnsi="Times New Roman" w:cs="Times New Roman"/>
          <w:bCs/>
          <w:iCs/>
          <w:sz w:val="24"/>
          <w:szCs w:val="24"/>
        </w:rPr>
        <w:t xml:space="preserve">), 18 </w:t>
      </w:r>
      <w:proofErr w:type="spellStart"/>
      <w:r w:rsidRPr="004370A3">
        <w:rPr>
          <w:rFonts w:ascii="Times New Roman" w:hAnsi="Times New Roman" w:cs="Times New Roman"/>
          <w:bCs/>
          <w:iCs/>
          <w:sz w:val="24"/>
          <w:szCs w:val="24"/>
        </w:rPr>
        <w:t>juillet</w:t>
      </w:r>
      <w:proofErr w:type="spellEnd"/>
      <w:r w:rsidRPr="004370A3">
        <w:rPr>
          <w:rFonts w:ascii="Times New Roman" w:hAnsi="Times New Roman" w:cs="Times New Roman"/>
          <w:bCs/>
          <w:iCs/>
          <w:sz w:val="24"/>
          <w:szCs w:val="24"/>
        </w:rPr>
        <w:t xml:space="preserve"> 2016.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0A3">
        <w:rPr>
          <w:rFonts w:ascii="Times New Roman" w:hAnsi="Times New Roman" w:cs="Times New Roman"/>
          <w:sz w:val="24"/>
          <w:szCs w:val="24"/>
        </w:rPr>
        <w:t xml:space="preserve">« New Caledonia constitutional transition from Melanesian states recent experience », in </w:t>
      </w:r>
      <w:r w:rsidRPr="004370A3">
        <w:rPr>
          <w:rFonts w:ascii="Times New Roman" w:hAnsi="Times New Roman" w:cs="Times New Roman"/>
          <w:i/>
          <w:sz w:val="24"/>
          <w:szCs w:val="24"/>
        </w:rPr>
        <w:t>Political change in Oceania : local, national and regional challenges</w:t>
      </w:r>
      <w:r w:rsidRPr="004370A3">
        <w:rPr>
          <w:rFonts w:ascii="Times New Roman" w:hAnsi="Times New Roman" w:cs="Times New Roman"/>
          <w:sz w:val="24"/>
          <w:szCs w:val="24"/>
        </w:rPr>
        <w:t xml:space="preserve">, Colloque de la Pacific Islands Political Science Association (PIPSA),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Alofi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 xml:space="preserve"> (Niue), 12-15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juillet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>« Quels droits pour les déplacés environnementaux ? », 4</w:t>
      </w:r>
      <w:r w:rsidRPr="004370A3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ème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sommet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Océania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22, Gouvernement de la Nouvelle-Calédonie, Bourail, Nouvelle-Calédonie, 6 avril 2016.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L'émergence des droits des générations futures dans les jurisprudences constitutionnelles - Étude comparée»,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 xml:space="preserve">in Rencontre mondiale des juristes de droit de l’environnement dans le cadre de la COP 21, 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5 décembre 2015, École des hautes études en sciences sociales (EHESS), (« 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Side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event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off » à la 21ème Conférence des parties (COP21) sur les changements climatiques).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Le destin commun en droit », in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Le destin commun, qu’est-ce que ça veut dire ?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23 septembre 2015, Congrès de la Nouvelle-Calédonie.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>« Populations autochtones et Déplacements environnementaux », Conférence « Changement climatique et Populations Autochtones », 9 août 2015, Université de la Nouvelle-Calédonie.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>« Changement climatique et déplacés environnementaux en Océanie », 3</w:t>
      </w:r>
      <w:r w:rsidRPr="004370A3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ème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sommet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Océania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21, Gouvernement de la Nouvelle-Calédonie, Nouméa, 29 avril 2015.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>« Droit de l’environnement et protection de la santé : un lien congénital », Conférence « Changement climatique et santé en Nouvelle-Calédonie », 7 avril 2015, Université de la Nouvelle-Calédonie.</w:t>
      </w:r>
    </w:p>
    <w:p w:rsidR="004370A3" w:rsidRPr="00457287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gramStart"/>
      <w:r w:rsidRPr="00457287">
        <w:rPr>
          <w:rFonts w:ascii="Times New Roman" w:hAnsi="Times New Roman" w:cs="Times New Roman"/>
          <w:sz w:val="24"/>
          <w:szCs w:val="24"/>
          <w:lang w:val="es-ES"/>
        </w:rPr>
        <w:t>« Los</w:t>
      </w:r>
      <w:proofErr w:type="gramEnd"/>
      <w:r w:rsidRPr="00457287">
        <w:rPr>
          <w:rFonts w:ascii="Times New Roman" w:hAnsi="Times New Roman" w:cs="Times New Roman"/>
          <w:sz w:val="24"/>
          <w:szCs w:val="24"/>
          <w:lang w:val="es-ES"/>
        </w:rPr>
        <w:t xml:space="preserve"> desplazados climáticos en el Pacífico », Congreso mundial de derecho, </w:t>
      </w:r>
      <w:proofErr w:type="spellStart"/>
      <w:r w:rsidRPr="00457287">
        <w:rPr>
          <w:rFonts w:ascii="Times New Roman" w:hAnsi="Times New Roman" w:cs="Times New Roman"/>
          <w:sz w:val="24"/>
          <w:szCs w:val="24"/>
          <w:lang w:val="es-ES"/>
        </w:rPr>
        <w:t>politica</w:t>
      </w:r>
      <w:proofErr w:type="spellEnd"/>
      <w:r w:rsidRPr="00457287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proofErr w:type="spellStart"/>
      <w:r w:rsidRPr="00457287">
        <w:rPr>
          <w:rFonts w:ascii="Times New Roman" w:hAnsi="Times New Roman" w:cs="Times New Roman"/>
          <w:sz w:val="24"/>
          <w:szCs w:val="24"/>
          <w:lang w:val="es-ES"/>
        </w:rPr>
        <w:t>gestion</w:t>
      </w:r>
      <w:proofErr w:type="spellEnd"/>
      <w:r w:rsidRPr="00457287">
        <w:rPr>
          <w:rFonts w:ascii="Times New Roman" w:hAnsi="Times New Roman" w:cs="Times New Roman"/>
          <w:sz w:val="24"/>
          <w:szCs w:val="24"/>
          <w:lang w:val="es-ES"/>
        </w:rPr>
        <w:t xml:space="preserve"> de riesgos de desastres, Universidad Nacional del Litoral, Santa Fe, </w:t>
      </w:r>
      <w:proofErr w:type="spellStart"/>
      <w:r w:rsidRPr="00457287">
        <w:rPr>
          <w:rFonts w:ascii="Times New Roman" w:hAnsi="Times New Roman" w:cs="Times New Roman"/>
          <w:sz w:val="24"/>
          <w:szCs w:val="24"/>
          <w:lang w:val="es-ES"/>
        </w:rPr>
        <w:t>Argentine</w:t>
      </w:r>
      <w:proofErr w:type="spellEnd"/>
      <w:r w:rsidRPr="0045728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457287">
        <w:rPr>
          <w:rFonts w:ascii="Times New Roman" w:hAnsi="Times New Roman" w:cs="Times New Roman"/>
          <w:sz w:val="24"/>
          <w:szCs w:val="24"/>
          <w:lang w:val="es-ES"/>
        </w:rPr>
        <w:t>Novembre</w:t>
      </w:r>
      <w:proofErr w:type="spellEnd"/>
      <w:r w:rsidRPr="00457287">
        <w:rPr>
          <w:rFonts w:ascii="Times New Roman" w:hAnsi="Times New Roman" w:cs="Times New Roman"/>
          <w:sz w:val="24"/>
          <w:szCs w:val="24"/>
          <w:lang w:val="es-ES"/>
        </w:rPr>
        <w:t xml:space="preserve"> 2014. </w:t>
      </w:r>
    </w:p>
    <w:p w:rsidR="004370A3" w:rsidRPr="00457287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gramStart"/>
      <w:r w:rsidRPr="00457287">
        <w:rPr>
          <w:rFonts w:ascii="Times New Roman" w:hAnsi="Times New Roman" w:cs="Times New Roman"/>
          <w:sz w:val="24"/>
          <w:szCs w:val="24"/>
          <w:lang w:val="es-ES"/>
        </w:rPr>
        <w:lastRenderedPageBreak/>
        <w:t>« May</w:t>
      </w:r>
      <w:proofErr w:type="gramEnd"/>
      <w:r w:rsidRPr="00457287">
        <w:rPr>
          <w:rFonts w:ascii="Times New Roman" w:hAnsi="Times New Roman" w:cs="Times New Roman"/>
          <w:sz w:val="24"/>
          <w:szCs w:val="24"/>
          <w:lang w:val="es-ES"/>
        </w:rPr>
        <w:t xml:space="preserve"> 2014 </w:t>
      </w:r>
      <w:proofErr w:type="spellStart"/>
      <w:r w:rsidRPr="00457287">
        <w:rPr>
          <w:rFonts w:ascii="Times New Roman" w:hAnsi="Times New Roman" w:cs="Times New Roman"/>
          <w:sz w:val="24"/>
          <w:szCs w:val="24"/>
          <w:lang w:val="es-ES"/>
        </w:rPr>
        <w:t>elections</w:t>
      </w:r>
      <w:proofErr w:type="spellEnd"/>
      <w:r w:rsidRPr="00457287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457287">
        <w:rPr>
          <w:rFonts w:ascii="Times New Roman" w:hAnsi="Times New Roman" w:cs="Times New Roman"/>
          <w:sz w:val="24"/>
          <w:szCs w:val="24"/>
          <w:lang w:val="es-ES"/>
        </w:rPr>
        <w:t>the</w:t>
      </w:r>
      <w:proofErr w:type="spellEnd"/>
      <w:r w:rsidRPr="0045728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57287">
        <w:rPr>
          <w:rFonts w:ascii="Times New Roman" w:hAnsi="Times New Roman" w:cs="Times New Roman"/>
          <w:sz w:val="24"/>
          <w:szCs w:val="24"/>
          <w:lang w:val="es-ES"/>
        </w:rPr>
        <w:t>self-determination</w:t>
      </w:r>
      <w:proofErr w:type="spellEnd"/>
      <w:r w:rsidRPr="0045728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57287">
        <w:rPr>
          <w:rFonts w:ascii="Times New Roman" w:hAnsi="Times New Roman" w:cs="Times New Roman"/>
          <w:sz w:val="24"/>
          <w:szCs w:val="24"/>
          <w:lang w:val="es-ES"/>
        </w:rPr>
        <w:t>context</w:t>
      </w:r>
      <w:proofErr w:type="spellEnd"/>
      <w:r w:rsidRPr="00457287">
        <w:rPr>
          <w:rFonts w:ascii="Times New Roman" w:hAnsi="Times New Roman" w:cs="Times New Roman"/>
          <w:sz w:val="24"/>
          <w:szCs w:val="24"/>
          <w:lang w:val="es-ES"/>
        </w:rPr>
        <w:t xml:space="preserve"> in New Caledonia », Colloque </w:t>
      </w:r>
      <w:proofErr w:type="spellStart"/>
      <w:r w:rsidRPr="00457287">
        <w:rPr>
          <w:rFonts w:ascii="Times New Roman" w:hAnsi="Times New Roman" w:cs="Times New Roman"/>
          <w:sz w:val="24"/>
          <w:szCs w:val="24"/>
          <w:lang w:val="es-ES"/>
        </w:rPr>
        <w:t>Pacific</w:t>
      </w:r>
      <w:proofErr w:type="spellEnd"/>
      <w:r w:rsidRPr="00457287">
        <w:rPr>
          <w:rFonts w:ascii="Times New Roman" w:hAnsi="Times New Roman" w:cs="Times New Roman"/>
          <w:sz w:val="24"/>
          <w:szCs w:val="24"/>
          <w:lang w:val="es-ES"/>
        </w:rPr>
        <w:t xml:space="preserve"> « </w:t>
      </w:r>
      <w:proofErr w:type="spellStart"/>
      <w:r w:rsidRPr="00457287">
        <w:rPr>
          <w:rFonts w:ascii="Times New Roman" w:hAnsi="Times New Roman" w:cs="Times New Roman"/>
          <w:sz w:val="24"/>
          <w:szCs w:val="24"/>
          <w:lang w:val="es-ES"/>
        </w:rPr>
        <w:t>Islands</w:t>
      </w:r>
      <w:proofErr w:type="spellEnd"/>
      <w:r w:rsidRPr="0045728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57287">
        <w:rPr>
          <w:rFonts w:ascii="Times New Roman" w:hAnsi="Times New Roman" w:cs="Times New Roman"/>
          <w:sz w:val="24"/>
          <w:szCs w:val="24"/>
          <w:lang w:val="es-ES"/>
        </w:rPr>
        <w:t>Political</w:t>
      </w:r>
      <w:proofErr w:type="spellEnd"/>
      <w:r w:rsidRPr="0045728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57287">
        <w:rPr>
          <w:rFonts w:ascii="Times New Roman" w:hAnsi="Times New Roman" w:cs="Times New Roman"/>
          <w:sz w:val="24"/>
          <w:szCs w:val="24"/>
          <w:lang w:val="es-ES"/>
        </w:rPr>
        <w:t>Science</w:t>
      </w:r>
      <w:proofErr w:type="spellEnd"/>
      <w:r w:rsidRPr="0045728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57287">
        <w:rPr>
          <w:rFonts w:ascii="Times New Roman" w:hAnsi="Times New Roman" w:cs="Times New Roman"/>
          <w:sz w:val="24"/>
          <w:szCs w:val="24"/>
          <w:lang w:val="es-ES"/>
        </w:rPr>
        <w:t>Association</w:t>
      </w:r>
      <w:proofErr w:type="spellEnd"/>
      <w:r w:rsidRPr="00457287">
        <w:rPr>
          <w:rFonts w:ascii="Times New Roman" w:hAnsi="Times New Roman" w:cs="Times New Roman"/>
          <w:sz w:val="24"/>
          <w:szCs w:val="24"/>
          <w:lang w:val="es-ES"/>
        </w:rPr>
        <w:t xml:space="preserve"> (PIPSA), Papeete (</w:t>
      </w:r>
      <w:proofErr w:type="spellStart"/>
      <w:r w:rsidRPr="00457287">
        <w:rPr>
          <w:rFonts w:ascii="Times New Roman" w:hAnsi="Times New Roman" w:cs="Times New Roman"/>
          <w:sz w:val="24"/>
          <w:szCs w:val="24"/>
          <w:lang w:val="es-ES"/>
        </w:rPr>
        <w:t>Polynésie</w:t>
      </w:r>
      <w:proofErr w:type="spellEnd"/>
      <w:r w:rsidRPr="0045728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57287">
        <w:rPr>
          <w:rFonts w:ascii="Times New Roman" w:hAnsi="Times New Roman" w:cs="Times New Roman"/>
          <w:sz w:val="24"/>
          <w:szCs w:val="24"/>
          <w:lang w:val="es-ES"/>
        </w:rPr>
        <w:t>française</w:t>
      </w:r>
      <w:proofErr w:type="spellEnd"/>
      <w:r w:rsidRPr="00457287">
        <w:rPr>
          <w:rFonts w:ascii="Times New Roman" w:hAnsi="Times New Roman" w:cs="Times New Roman"/>
          <w:sz w:val="24"/>
          <w:szCs w:val="24"/>
          <w:lang w:val="es-ES"/>
        </w:rPr>
        <w:t>), Juin 2014.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0A3">
        <w:rPr>
          <w:rFonts w:ascii="Times New Roman" w:hAnsi="Times New Roman" w:cs="Times New Roman"/>
          <w:sz w:val="24"/>
          <w:szCs w:val="24"/>
        </w:rPr>
        <w:t xml:space="preserve">« The May 11, 2014 elections in New Caledonia – Stakes, results and perspectives»,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Séminaire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>, University of Victoria, Wellington, Nouvelle-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Zélande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>, Mai 2014.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0A3">
        <w:rPr>
          <w:rFonts w:ascii="Times New Roman" w:hAnsi="Times New Roman" w:cs="Times New Roman"/>
          <w:sz w:val="24"/>
          <w:szCs w:val="24"/>
        </w:rPr>
        <w:t xml:space="preserve">« The evolution of the political status of New Caledonia : 2014, a key year »,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Séminaire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>, University of Waikato (Nouvelle-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Zélande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>), Avril 2014.</w:t>
      </w:r>
    </w:p>
    <w:p w:rsidR="004370A3" w:rsidRPr="004370A3" w:rsidRDefault="004370A3" w:rsidP="00AF65DD">
      <w:pPr>
        <w:pStyle w:val="Paragraphedeliste"/>
        <w:numPr>
          <w:ilvl w:val="0"/>
          <w:numId w:val="1"/>
        </w:numPr>
        <w:spacing w:after="120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4370A3">
        <w:rPr>
          <w:rFonts w:ascii="Times New Roman" w:eastAsiaTheme="minorEastAsia" w:hAnsi="Times New Roman" w:cs="Times New Roman"/>
          <w:sz w:val="24"/>
          <w:szCs w:val="24"/>
          <w:lang w:val="en-US"/>
        </w:rPr>
        <w:t>« The role of constitutional courts in determining the scope of the right to environment - A comparative approach », 2013 IUCN Academy of Environmental Law Annual Colloquium, University of Waikato (Nouvelle-</w:t>
      </w:r>
      <w:proofErr w:type="spellStart"/>
      <w:r w:rsidRPr="004370A3">
        <w:rPr>
          <w:rFonts w:ascii="Times New Roman" w:eastAsiaTheme="minorEastAsia" w:hAnsi="Times New Roman" w:cs="Times New Roman"/>
          <w:sz w:val="24"/>
          <w:szCs w:val="24"/>
          <w:lang w:val="en-US"/>
        </w:rPr>
        <w:t>Zélande</w:t>
      </w:r>
      <w:proofErr w:type="spellEnd"/>
      <w:r w:rsidRPr="004370A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4370A3">
        <w:rPr>
          <w:rFonts w:ascii="Times New Roman" w:eastAsiaTheme="minorEastAsia" w:hAnsi="Times New Roman" w:cs="Times New Roman"/>
          <w:sz w:val="24"/>
          <w:szCs w:val="24"/>
          <w:lang w:val="en-US"/>
        </w:rPr>
        <w:t>Juin</w:t>
      </w:r>
      <w:proofErr w:type="spellEnd"/>
      <w:r w:rsidRPr="004370A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2013.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Institutionnalisation de la coutume et processus législatif - Etude comparée dans le Pacifique Sud », in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L'élaboration du socle commun et l'évolution des autorités et institutions coutumières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Sénat coutumier de Nouvelle-Calédonie, Nouméa, 23-24 octobre 2012.</w:t>
      </w:r>
    </w:p>
    <w:p w:rsidR="004370A3" w:rsidRP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0A3">
        <w:rPr>
          <w:rFonts w:ascii="Times New Roman" w:hAnsi="Times New Roman" w:cs="Times New Roman"/>
          <w:sz w:val="24"/>
          <w:szCs w:val="24"/>
        </w:rPr>
        <w:t xml:space="preserve">« Priority Preliminary Rulings on the issue of constitutionality and local statutes in New Caledonia : the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strenghtening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 xml:space="preserve"> of the rule of law »,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Séminaire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 xml:space="preserve">, Australian National University (Canberra –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Australie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Octobre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 xml:space="preserve"> 2012.</w:t>
      </w:r>
    </w:p>
    <w:p w:rsidR="004370A3" w:rsidRDefault="004370A3" w:rsidP="00AF65DD">
      <w:pPr>
        <w:pStyle w:val="Corpsdetexte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« Les institutions et autorités coutumières en Nouvelle-Calédonie », in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Droit coutumier et pluralisme des ordres juridiques en Nouvelle-Calédonie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Sénat coutumier de Nouvelle-Calédonie, Mars 2011.</w:t>
      </w:r>
    </w:p>
    <w:p w:rsidR="00E65A87" w:rsidRPr="004370A3" w:rsidRDefault="00E65A87" w:rsidP="00E65A87">
      <w:pPr>
        <w:pStyle w:val="Corpsdetexte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30FBB" w:rsidRPr="00E65A87" w:rsidRDefault="00D30FBB" w:rsidP="00AF65DD">
      <w:pPr>
        <w:pStyle w:val="Corpsdetexte"/>
        <w:spacing w:before="200" w:after="120" w:line="260" w:lineRule="atLeast"/>
        <w:ind w:left="-210"/>
        <w:jc w:val="both"/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lang w:val="fr-FR"/>
        </w:rPr>
      </w:pPr>
      <w:r w:rsidRPr="00E65A87"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  <w:lang w:val="fr-FR"/>
        </w:rPr>
        <w:t>P</w:t>
      </w:r>
      <w:r w:rsidR="00E65A87"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  <w:lang w:val="fr-FR"/>
        </w:rPr>
        <w:t>rogrammes de recherches collectifs</w:t>
      </w:r>
    </w:p>
    <w:p w:rsidR="00E65A87" w:rsidRDefault="00E65A87" w:rsidP="00AF65DD">
      <w:pPr>
        <w:pStyle w:val="Corpsdetexte"/>
        <w:numPr>
          <w:ilvl w:val="0"/>
          <w:numId w:val="1"/>
        </w:numPr>
        <w:spacing w:after="120" w:line="260" w:lineRule="atLeast"/>
        <w:ind w:left="147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Participation au projet « Code de l’environnement de la province des Iles Loyauté (CEPIL) : Elaboration du Code de l’environnement de la province des Iles Loyauté de Nouvelle-Calédonie, en collaboration avec l’IRD (UMR – GRED), 2013-2018.</w:t>
      </w:r>
    </w:p>
    <w:p w:rsidR="00D30FBB" w:rsidRDefault="00D30FBB" w:rsidP="00AF65DD">
      <w:pPr>
        <w:pStyle w:val="Corpsdetexte"/>
        <w:numPr>
          <w:ilvl w:val="0"/>
          <w:numId w:val="1"/>
        </w:numPr>
        <w:spacing w:after="120" w:line="260" w:lineRule="atLeast"/>
        <w:ind w:left="147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>« Expertise collégiale sur l’exploitation des ressources minérales marines en Polynésie française », à la demande du Gouvernement de la Polynésie française, IRD. Experte en droit de l’environnement</w:t>
      </w:r>
      <w:r w:rsidR="007E7691">
        <w:rPr>
          <w:rFonts w:ascii="Times New Roman" w:hAnsi="Times New Roman" w:cs="Times New Roman"/>
          <w:sz w:val="24"/>
          <w:szCs w:val="24"/>
          <w:lang w:val="fr-FR"/>
        </w:rPr>
        <w:t xml:space="preserve"> et coordonnatrice de l’axe Droit et Gouvernance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2015.</w:t>
      </w:r>
    </w:p>
    <w:p w:rsidR="007E7691" w:rsidRPr="004B5142" w:rsidRDefault="007E7691" w:rsidP="007E7691">
      <w:pPr>
        <w:pStyle w:val="Corpsdetex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B5142">
        <w:rPr>
          <w:rFonts w:ascii="Times New Roman" w:hAnsi="Times New Roman" w:cs="Times New Roman"/>
          <w:sz w:val="24"/>
          <w:szCs w:val="24"/>
          <w:lang w:val="fr-FR"/>
        </w:rPr>
        <w:t xml:space="preserve">Participation au projet « Droit et gouvernance des ressources naturelles à Vanuatu » (2013–2015), dans le cadre de la convention de coopération entre la France, la Nouvelle-Calédonie et le Vanuatu et en collaboration avec l’IRD (UMR – GRED), l’Université de la Nouvelle-Calédonie, </w:t>
      </w:r>
      <w:proofErr w:type="spellStart"/>
      <w:r w:rsidRPr="004B5142">
        <w:rPr>
          <w:rFonts w:ascii="Times New Roman" w:hAnsi="Times New Roman" w:cs="Times New Roman"/>
          <w:sz w:val="24"/>
          <w:szCs w:val="24"/>
          <w:lang w:val="fr-FR"/>
        </w:rPr>
        <w:t>University</w:t>
      </w:r>
      <w:proofErr w:type="spellEnd"/>
      <w:r w:rsidRPr="004B5142">
        <w:rPr>
          <w:rFonts w:ascii="Times New Roman" w:hAnsi="Times New Roman" w:cs="Times New Roman"/>
          <w:sz w:val="24"/>
          <w:szCs w:val="24"/>
          <w:lang w:val="fr-FR"/>
        </w:rPr>
        <w:t xml:space="preserve"> of South Pacific et le VKS (Centre culturel du Vanuatu).</w:t>
      </w:r>
    </w:p>
    <w:p w:rsidR="00D30FBB" w:rsidRPr="004370A3" w:rsidRDefault="007E7691" w:rsidP="00AF65DD">
      <w:pPr>
        <w:pStyle w:val="Corpsdetexte"/>
        <w:numPr>
          <w:ilvl w:val="0"/>
          <w:numId w:val="1"/>
        </w:numPr>
        <w:spacing w:after="120" w:line="260" w:lineRule="atLeast"/>
        <w:ind w:left="147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Participation au</w:t>
      </w:r>
      <w:r w:rsidR="00D30FBB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programme COGERON </w:t>
      </w:r>
      <w:r w:rsidR="00F656A9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/ </w:t>
      </w:r>
      <w:r w:rsidR="00D30FBB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Liteau III </w:t>
      </w:r>
      <w:r w:rsidR="00F656A9" w:rsidRPr="004370A3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D30FBB" w:rsidRPr="004370A3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F656A9" w:rsidRPr="004370A3">
        <w:rPr>
          <w:rFonts w:ascii="Times New Roman" w:hAnsi="Times New Roman" w:cs="Times New Roman"/>
          <w:sz w:val="24"/>
          <w:szCs w:val="24"/>
          <w:lang w:val="fr-FR"/>
        </w:rPr>
        <w:t>EEDDAT)</w:t>
      </w:r>
      <w:r w:rsidR="00D30FBB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: étude juridique sur la formalisation des usages coutumiers </w:t>
      </w:r>
      <w:r w:rsidR="002565EA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sur le littoral, </w:t>
      </w:r>
      <w:r w:rsidR="00D30FBB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IRD/UNC/IAC/IFREMER. 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Coordination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de l’axe juridique 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et recherche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D30FBB" w:rsidRPr="004370A3">
        <w:rPr>
          <w:rFonts w:ascii="Times New Roman" w:hAnsi="Times New Roman" w:cs="Times New Roman"/>
          <w:sz w:val="24"/>
          <w:szCs w:val="24"/>
          <w:lang w:val="fr-FR"/>
        </w:rPr>
        <w:t>2008–2011</w:t>
      </w:r>
      <w:r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D30FBB" w:rsidRPr="004370A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7E7691" w:rsidRPr="004370A3" w:rsidRDefault="007E7691" w:rsidP="007E7691">
      <w:pPr>
        <w:pStyle w:val="Corpsdetexte"/>
        <w:numPr>
          <w:ilvl w:val="0"/>
          <w:numId w:val="1"/>
        </w:numPr>
        <w:spacing w:after="120" w:line="260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Participation au projet « G</w:t>
      </w:r>
      <w:r w:rsidRPr="007E7691">
        <w:rPr>
          <w:rFonts w:ascii="Times New Roman" w:hAnsi="Times New Roman" w:cs="Times New Roman"/>
          <w:sz w:val="24"/>
          <w:szCs w:val="24"/>
          <w:lang w:val="fr-FR"/>
        </w:rPr>
        <w:t xml:space="preserve">uide méthodologique pour le suivi des impacts miniers en milieu </w:t>
      </w:r>
      <w:proofErr w:type="spellStart"/>
      <w:r w:rsidRPr="007E7691">
        <w:rPr>
          <w:rFonts w:ascii="Times New Roman" w:hAnsi="Times New Roman" w:cs="Times New Roman"/>
          <w:sz w:val="24"/>
          <w:szCs w:val="24"/>
          <w:lang w:val="fr-FR"/>
        </w:rPr>
        <w:t>lagonaire</w:t>
      </w:r>
      <w:proofErr w:type="spellEnd"/>
      <w:r w:rsidRPr="007E76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7E7691">
        <w:rPr>
          <w:rFonts w:ascii="Times New Roman" w:hAnsi="Times New Roman" w:cs="Times New Roman"/>
          <w:sz w:val="24"/>
          <w:szCs w:val="24"/>
          <w:lang w:val="fr-FR"/>
        </w:rPr>
        <w:t>GIMINI</w:t>
      </w:r>
      <w:r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7E769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>en collaboration avec IRD/IFREMER/IAC/UNC. Finance</w:t>
      </w:r>
      <w:r>
        <w:rPr>
          <w:rFonts w:ascii="Times New Roman" w:hAnsi="Times New Roman" w:cs="Times New Roman"/>
          <w:sz w:val="24"/>
          <w:szCs w:val="24"/>
          <w:lang w:val="fr-FR"/>
        </w:rPr>
        <w:t>m</w:t>
      </w:r>
      <w:r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>n</w:t>
      </w:r>
      <w:r>
        <w:rPr>
          <w:rFonts w:ascii="Times New Roman" w:hAnsi="Times New Roman" w:cs="Times New Roman"/>
          <w:sz w:val="24"/>
          <w:szCs w:val="24"/>
          <w:lang w:val="fr-FR"/>
        </w:rPr>
        <w:t>t CNRT Nickel et son environnement, Coordination de l’axe juridique. 2010.</w:t>
      </w:r>
    </w:p>
    <w:p w:rsidR="004B5142" w:rsidRPr="004B5142" w:rsidRDefault="004B5142" w:rsidP="00AF65DD">
      <w:pPr>
        <w:pStyle w:val="Corpsdetex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Coordination du</w:t>
      </w:r>
      <w:r w:rsidRPr="004B5142">
        <w:rPr>
          <w:rFonts w:ascii="Times New Roman" w:hAnsi="Times New Roman" w:cs="Times New Roman"/>
          <w:sz w:val="24"/>
          <w:szCs w:val="24"/>
          <w:lang w:val="fr-FR"/>
        </w:rPr>
        <w:t xml:space="preserve"> projet dans le cadre de la convention liant le </w:t>
      </w:r>
      <w:r>
        <w:rPr>
          <w:rFonts w:ascii="Times New Roman" w:hAnsi="Times New Roman" w:cs="Times New Roman"/>
          <w:sz w:val="24"/>
          <w:szCs w:val="24"/>
          <w:lang w:val="fr-FR"/>
        </w:rPr>
        <w:t>LARJE</w:t>
      </w:r>
      <w:r w:rsidRPr="004B5142">
        <w:rPr>
          <w:rFonts w:ascii="Times New Roman" w:hAnsi="Times New Roman" w:cs="Times New Roman"/>
          <w:sz w:val="24"/>
          <w:szCs w:val="24"/>
          <w:lang w:val="fr-FR"/>
        </w:rPr>
        <w:t xml:space="preserve"> à la Province Sud de Nouvelle-Calédonie dans le cadre d’une convention d’assistance juridique pour l’élaboration d’un Code de l’environnement de la collectivité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(2008-2009)</w:t>
      </w:r>
      <w:r w:rsidRPr="004B514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B5142" w:rsidRDefault="004B5142" w:rsidP="00AF65DD">
      <w:pPr>
        <w:spacing w:before="200" w:after="120" w:line="260" w:lineRule="atLeast"/>
        <w:ind w:left="-284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</w:rPr>
      </w:pPr>
    </w:p>
    <w:p w:rsidR="002D0947" w:rsidRPr="00486B8D" w:rsidRDefault="002D0947" w:rsidP="00AF65DD">
      <w:pPr>
        <w:spacing w:before="200" w:after="120" w:line="260" w:lineRule="atLeast"/>
        <w:ind w:left="-284"/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</w:pPr>
      <w:r w:rsidRPr="00486B8D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</w:rPr>
        <w:lastRenderedPageBreak/>
        <w:t>E</w:t>
      </w:r>
      <w:r w:rsidR="00486B8D"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  <w:t>nseignements</w:t>
      </w:r>
      <w:r w:rsidR="002C2138"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  <w:t xml:space="preserve"> (depuis 2008)</w:t>
      </w:r>
    </w:p>
    <w:p w:rsidR="004B5142" w:rsidRDefault="00B25955" w:rsidP="00AF65DD">
      <w:pPr>
        <w:spacing w:before="200" w:after="120" w:line="260" w:lineRule="atLeast"/>
        <w:ind w:left="-284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</w:rPr>
      </w:pPr>
      <w:r w:rsidRPr="005C015A">
        <w:rPr>
          <w:noProof/>
        </w:rPr>
        <w:drawing>
          <wp:inline distT="0" distB="0" distL="0" distR="0">
            <wp:extent cx="5981700" cy="621696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493" cy="622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B25955" w:rsidRDefault="00B25955" w:rsidP="00AF65DD">
      <w:pPr>
        <w:spacing w:before="200" w:after="120" w:line="260" w:lineRule="atLeast"/>
        <w:ind w:left="-284"/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Magenta"/>
        </w:rPr>
      </w:pPr>
    </w:p>
    <w:p w:rsidR="002D0947" w:rsidRPr="00B25955" w:rsidRDefault="00B25955" w:rsidP="00AF65DD">
      <w:pPr>
        <w:spacing w:before="200" w:after="120" w:line="260" w:lineRule="atLeast"/>
        <w:ind w:left="-284"/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</w:pPr>
      <w:r w:rsidRPr="00B25955"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  <w:t>Responsabilit</w:t>
      </w:r>
      <w:r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  <w:t>é</w:t>
      </w:r>
      <w:r w:rsidRPr="00B25955"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  <w:t>s administratives</w:t>
      </w:r>
      <w:r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  <w:t>,</w:t>
      </w:r>
      <w:r w:rsidRPr="00B25955">
        <w:rPr>
          <w:rFonts w:ascii="Times New Roman" w:hAnsi="Times New Roman" w:cs="Times New Roman"/>
          <w:b/>
          <w:smallCaps/>
          <w:color w:val="FFFFFF" w:themeColor="background1"/>
          <w:sz w:val="24"/>
          <w:szCs w:val="24"/>
          <w:highlight w:val="darkMagenta"/>
        </w:rPr>
        <w:t xml:space="preserve"> pédagogiques et scientifiques</w:t>
      </w:r>
    </w:p>
    <w:p w:rsidR="001D4945" w:rsidRPr="004370A3" w:rsidRDefault="002D0947" w:rsidP="00AF65DD">
      <w:pPr>
        <w:spacing w:after="120" w:line="260" w:lineRule="atLeast"/>
        <w:ind w:left="-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370A3">
        <w:rPr>
          <w:rFonts w:ascii="Times New Roman" w:hAnsi="Times New Roman" w:cs="Times New Roman"/>
          <w:i/>
          <w:sz w:val="24"/>
          <w:szCs w:val="24"/>
          <w:u w:val="single"/>
        </w:rPr>
        <w:t>Responsabilités administratives :</w:t>
      </w:r>
    </w:p>
    <w:p w:rsidR="00EE12E6" w:rsidRPr="004370A3" w:rsidRDefault="00EE12E6" w:rsidP="00DF6336">
      <w:pPr>
        <w:pStyle w:val="Paragraphedeliste"/>
        <w:numPr>
          <w:ilvl w:val="0"/>
          <w:numId w:val="5"/>
        </w:numPr>
        <w:spacing w:after="120" w:line="260" w:lineRule="atLeast"/>
        <w:ind w:left="14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70A3">
        <w:rPr>
          <w:rFonts w:ascii="Times New Roman" w:hAnsi="Times New Roman" w:cs="Times New Roman"/>
          <w:sz w:val="24"/>
          <w:szCs w:val="24"/>
        </w:rPr>
        <w:t xml:space="preserve">Directrice adjointe du Département Droit Economie Gestion de l’Université de la Nouvelle-Calédonie </w:t>
      </w:r>
      <w:r w:rsidR="00B25955">
        <w:rPr>
          <w:rFonts w:ascii="Times New Roman" w:hAnsi="Times New Roman" w:cs="Times New Roman"/>
          <w:sz w:val="24"/>
          <w:szCs w:val="24"/>
        </w:rPr>
        <w:t>(2016-2017)</w:t>
      </w:r>
      <w:r w:rsidRPr="004370A3">
        <w:rPr>
          <w:rFonts w:ascii="Times New Roman" w:hAnsi="Times New Roman" w:cs="Times New Roman"/>
          <w:sz w:val="24"/>
          <w:szCs w:val="24"/>
        </w:rPr>
        <w:t>.</w:t>
      </w:r>
    </w:p>
    <w:p w:rsidR="00D30FBB" w:rsidRPr="004370A3" w:rsidRDefault="00D30FBB" w:rsidP="00AF65DD">
      <w:pPr>
        <w:pStyle w:val="Paragraphedeliste"/>
        <w:numPr>
          <w:ilvl w:val="0"/>
          <w:numId w:val="5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70A3">
        <w:rPr>
          <w:rFonts w:ascii="Times New Roman" w:hAnsi="Times New Roman" w:cs="Times New Roman"/>
          <w:sz w:val="24"/>
          <w:szCs w:val="24"/>
        </w:rPr>
        <w:t xml:space="preserve">Membre du comité directeur de la Pacific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Islands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3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4370A3">
        <w:rPr>
          <w:rFonts w:ascii="Times New Roman" w:hAnsi="Times New Roman" w:cs="Times New Roman"/>
          <w:sz w:val="24"/>
          <w:szCs w:val="24"/>
        </w:rPr>
        <w:t xml:space="preserve"> Association depuis octobre 2014.</w:t>
      </w:r>
    </w:p>
    <w:p w:rsidR="00D30FBB" w:rsidRDefault="00D30FBB" w:rsidP="00AF65DD">
      <w:pPr>
        <w:pStyle w:val="Corpsdetexte"/>
        <w:numPr>
          <w:ilvl w:val="0"/>
          <w:numId w:val="5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Membre élue du Conseil d’administration de l’Université de la Nouvelle-Calédonie </w:t>
      </w:r>
      <w:r w:rsidR="00B25955"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2013</w:t>
      </w:r>
      <w:r w:rsidR="00B25955">
        <w:rPr>
          <w:rFonts w:ascii="Times New Roman" w:hAnsi="Times New Roman" w:cs="Times New Roman"/>
          <w:sz w:val="24"/>
          <w:szCs w:val="24"/>
          <w:lang w:val="fr-FR"/>
        </w:rPr>
        <w:t>-2017)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F6336" w:rsidRPr="004370A3" w:rsidRDefault="00DF6336" w:rsidP="00AF65DD">
      <w:pPr>
        <w:pStyle w:val="Corpsdetexte"/>
        <w:numPr>
          <w:ilvl w:val="0"/>
          <w:numId w:val="5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Membre du bureau de la présidence de l’Université de la Nouvelle-Calédonie (2009-2010).</w:t>
      </w:r>
    </w:p>
    <w:p w:rsidR="00C13E7A" w:rsidRDefault="00C13E7A" w:rsidP="00C13E7A">
      <w:pPr>
        <w:pStyle w:val="Corpsdetexte"/>
        <w:spacing w:after="120" w:line="260" w:lineRule="atLeast"/>
        <w:ind w:left="142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F6336" w:rsidRPr="004370A3" w:rsidRDefault="00DF6336" w:rsidP="00DF6336">
      <w:pPr>
        <w:spacing w:after="120" w:line="260" w:lineRule="atLeast"/>
        <w:ind w:left="-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370A3">
        <w:rPr>
          <w:rFonts w:ascii="Times New Roman" w:hAnsi="Times New Roman" w:cs="Times New Roman"/>
          <w:i/>
          <w:sz w:val="24"/>
          <w:szCs w:val="24"/>
          <w:u w:val="single"/>
        </w:rPr>
        <w:t xml:space="preserve">Responsabilités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pédagogiques</w:t>
      </w:r>
      <w:r w:rsidRPr="004370A3">
        <w:rPr>
          <w:rFonts w:ascii="Times New Roman" w:hAnsi="Times New Roman" w:cs="Times New Roman"/>
          <w:i/>
          <w:sz w:val="24"/>
          <w:szCs w:val="24"/>
          <w:u w:val="single"/>
        </w:rPr>
        <w:t> :</w:t>
      </w:r>
    </w:p>
    <w:p w:rsidR="00DF6336" w:rsidRPr="004370A3" w:rsidRDefault="00DF6336" w:rsidP="00DF6336">
      <w:pPr>
        <w:pStyle w:val="Paragraphedeliste"/>
        <w:numPr>
          <w:ilvl w:val="0"/>
          <w:numId w:val="5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</w:rPr>
      </w:pPr>
      <w:r w:rsidRPr="004370A3">
        <w:rPr>
          <w:rFonts w:ascii="Times New Roman" w:hAnsi="Times New Roman" w:cs="Times New Roman"/>
          <w:sz w:val="24"/>
          <w:szCs w:val="24"/>
        </w:rPr>
        <w:t>Directrice du Master de Droit, mention « Droit et Management dans l’environnement calédonien »</w:t>
      </w:r>
      <w:r>
        <w:rPr>
          <w:rFonts w:ascii="Times New Roman" w:hAnsi="Times New Roman" w:cs="Times New Roman"/>
          <w:sz w:val="24"/>
          <w:szCs w:val="24"/>
        </w:rPr>
        <w:t xml:space="preserve"> (2015-2017)</w:t>
      </w:r>
      <w:r w:rsidRPr="004370A3">
        <w:rPr>
          <w:rFonts w:ascii="Times New Roman" w:hAnsi="Times New Roman" w:cs="Times New Roman"/>
          <w:sz w:val="24"/>
          <w:szCs w:val="24"/>
        </w:rPr>
        <w:t>.</w:t>
      </w:r>
    </w:p>
    <w:p w:rsidR="00DF6336" w:rsidRDefault="00DF6336" w:rsidP="00DF6336">
      <w:pPr>
        <w:pStyle w:val="Corpsdetexte"/>
        <w:numPr>
          <w:ilvl w:val="0"/>
          <w:numId w:val="5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>Responsable pédagogique de la licence de droit de l’Université de la Nouvelle-Calédonie (2010-2014).</w:t>
      </w:r>
    </w:p>
    <w:p w:rsidR="00DF6336" w:rsidRDefault="00DF6336" w:rsidP="00DF6336">
      <w:pPr>
        <w:pStyle w:val="Corpsdetexte"/>
        <w:numPr>
          <w:ilvl w:val="0"/>
          <w:numId w:val="5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Responsable de la coordination de l’enseignement des langues au Département Droit Economie Gestion de l’Université de la Nouvelle-Calédonie (2008-2010).</w:t>
      </w:r>
    </w:p>
    <w:p w:rsidR="00DF6336" w:rsidRPr="004370A3" w:rsidRDefault="00DF6336" w:rsidP="00C13E7A">
      <w:pPr>
        <w:pStyle w:val="Corpsdetexte"/>
        <w:spacing w:after="120" w:line="260" w:lineRule="atLeast"/>
        <w:ind w:left="142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D0947" w:rsidRPr="004370A3" w:rsidRDefault="002D0947" w:rsidP="00AF65DD">
      <w:pPr>
        <w:spacing w:before="120" w:after="120" w:line="260" w:lineRule="atLeast"/>
        <w:ind w:left="-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370A3">
        <w:rPr>
          <w:rFonts w:ascii="Times New Roman" w:hAnsi="Times New Roman" w:cs="Times New Roman"/>
          <w:i/>
          <w:sz w:val="24"/>
          <w:szCs w:val="24"/>
          <w:u w:val="single"/>
        </w:rPr>
        <w:t>Responsabilités scientifiques</w:t>
      </w:r>
      <w:r w:rsidR="00776BC6" w:rsidRPr="004370A3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r w:rsidR="00DF6336">
        <w:rPr>
          <w:rFonts w:ascii="Times New Roman" w:hAnsi="Times New Roman" w:cs="Times New Roman"/>
          <w:i/>
          <w:sz w:val="24"/>
          <w:szCs w:val="24"/>
          <w:u w:val="single"/>
        </w:rPr>
        <w:t>hors programmes de recherche</w:t>
      </w:r>
      <w:r w:rsidR="00776BC6" w:rsidRPr="004370A3">
        <w:rPr>
          <w:rFonts w:ascii="Times New Roman" w:hAnsi="Times New Roman" w:cs="Times New Roman"/>
          <w:i/>
          <w:sz w:val="24"/>
          <w:szCs w:val="24"/>
          <w:u w:val="single"/>
        </w:rPr>
        <w:t>) :</w:t>
      </w:r>
    </w:p>
    <w:p w:rsidR="00DF6336" w:rsidRDefault="00DF6336" w:rsidP="00AF65DD">
      <w:pPr>
        <w:pStyle w:val="Corpsdetexte"/>
        <w:numPr>
          <w:ilvl w:val="0"/>
          <w:numId w:val="6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Coordination de Mélanges en la mémoire de Guy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Agniel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 : « L’Océanie dans tous ses États », éd. Presses Universitaires de la Nouvelle-Calédonie (PUAM), à paraître, 2019.</w:t>
      </w:r>
    </w:p>
    <w:p w:rsidR="00DF6336" w:rsidRDefault="00DF6336" w:rsidP="00AF65DD">
      <w:pPr>
        <w:pStyle w:val="Corpsdetexte"/>
        <w:numPr>
          <w:ilvl w:val="0"/>
          <w:numId w:val="6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Direction scientifique d’un dossier spécial « Le jour d’après – Quel droit, quelles institutions après l’accord de Nouméa ? », Revue Juridique, Politique et Economique de la Nouvelle-Calédonie, n° 30, 10 contributions.</w:t>
      </w:r>
    </w:p>
    <w:p w:rsidR="00F6703D" w:rsidRPr="004370A3" w:rsidRDefault="00F6703D" w:rsidP="00AF65DD">
      <w:pPr>
        <w:pStyle w:val="Corpsdetexte"/>
        <w:numPr>
          <w:ilvl w:val="0"/>
          <w:numId w:val="6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>Coordination d’un ouvrage collectif : « </w:t>
      </w:r>
      <w:r w:rsidR="00EE12E6" w:rsidRPr="004370A3">
        <w:rPr>
          <w:rFonts w:ascii="Times New Roman" w:hAnsi="Times New Roman" w:cs="Times New Roman"/>
          <w:sz w:val="24"/>
          <w:szCs w:val="24"/>
          <w:lang w:val="fr-FR"/>
        </w:rPr>
        <w:t>Quinze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ans de lois du pays</w:t>
      </w:r>
      <w:r w:rsidR="00EE12E6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en Nouvelle-Calédonie – Sur les chemins de la maturité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 », éd. PUAM, </w:t>
      </w:r>
      <w:r w:rsidR="00EE12E6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coll. Droit d’outre-mer, 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2016</w:t>
      </w:r>
      <w:r w:rsidR="00EE12E6" w:rsidRPr="004370A3">
        <w:rPr>
          <w:rFonts w:ascii="Times New Roman" w:hAnsi="Times New Roman" w:cs="Times New Roman"/>
          <w:sz w:val="24"/>
          <w:szCs w:val="24"/>
          <w:lang w:val="fr-FR"/>
        </w:rPr>
        <w:t>, 330 pages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30FBB" w:rsidRPr="004370A3" w:rsidRDefault="005F0BC2" w:rsidP="00AF65DD">
      <w:pPr>
        <w:pStyle w:val="Corpsdetexte"/>
        <w:numPr>
          <w:ilvl w:val="0"/>
          <w:numId w:val="6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>Direction scientifique et organisation d’un c</w:t>
      </w:r>
      <w:r w:rsidR="00D30FBB" w:rsidRPr="004370A3">
        <w:rPr>
          <w:rFonts w:ascii="Times New Roman" w:hAnsi="Times New Roman" w:cs="Times New Roman"/>
          <w:sz w:val="24"/>
          <w:szCs w:val="24"/>
          <w:lang w:val="fr-FR"/>
        </w:rPr>
        <w:t>ycle de conférences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pluridisciplinaire</w:t>
      </w:r>
      <w:r w:rsidR="00D30FBB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sur la recherche scientifique sur les impacts du changement climatique en Nouvelle-Calédonie </w:t>
      </w:r>
      <w:r w:rsidR="00DF6336">
        <w:rPr>
          <w:rFonts w:ascii="Times New Roman" w:hAnsi="Times New Roman" w:cs="Times New Roman"/>
          <w:sz w:val="24"/>
          <w:szCs w:val="24"/>
          <w:lang w:val="fr-FR"/>
        </w:rPr>
        <w:t xml:space="preserve">dans l’optique de la COP 21 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D30FBB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5 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conférences thématiques</w:t>
      </w:r>
      <w:r w:rsidR="00F656A9" w:rsidRPr="004370A3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, 2015.</w:t>
      </w:r>
    </w:p>
    <w:p w:rsidR="005F0BC2" w:rsidRPr="004370A3" w:rsidRDefault="005F0BC2" w:rsidP="00AF65DD">
      <w:pPr>
        <w:pStyle w:val="Corpsdetexte"/>
        <w:numPr>
          <w:ilvl w:val="0"/>
          <w:numId w:val="6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Direction scientifique et organisation d’un colloque </w:t>
      </w:r>
      <w:r w:rsidR="0043228B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international : </w:t>
      </w:r>
      <w:r w:rsidR="00D30FBB" w:rsidRPr="004370A3">
        <w:rPr>
          <w:rFonts w:ascii="Times New Roman" w:hAnsi="Times New Roman" w:cs="Times New Roman"/>
          <w:sz w:val="24"/>
          <w:szCs w:val="24"/>
          <w:lang w:val="fr-FR"/>
        </w:rPr>
        <w:t>« Le développement durable en Océanie – Vers une éthique nouvelle ? », S. Blaise, V. David et C. David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>.)</w:t>
      </w:r>
      <w:r w:rsidR="00D30FBB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43228B" w:rsidRPr="004370A3">
        <w:rPr>
          <w:rFonts w:ascii="Times New Roman" w:hAnsi="Times New Roman" w:cs="Times New Roman"/>
          <w:sz w:val="24"/>
          <w:szCs w:val="24"/>
          <w:lang w:val="fr-FR"/>
        </w:rPr>
        <w:t>2013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30FBB" w:rsidRDefault="0043228B" w:rsidP="00AF65DD">
      <w:pPr>
        <w:pStyle w:val="Corpsdetexte"/>
        <w:numPr>
          <w:ilvl w:val="0"/>
          <w:numId w:val="6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Direction scientifique et organisation d’un colloque international : </w:t>
      </w:r>
      <w:r w:rsidR="00D30FBB" w:rsidRPr="004370A3">
        <w:rPr>
          <w:rFonts w:ascii="Times New Roman" w:hAnsi="Times New Roman" w:cs="Times New Roman"/>
          <w:sz w:val="24"/>
          <w:szCs w:val="24"/>
          <w:lang w:val="fr-FR"/>
        </w:rPr>
        <w:t>« L’intégration de la coutume dans l’élaboration de la norme environnementale – Eléments d’ici 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t d’ailleurs », C. David et N. Meyer (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dir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>.)</w:t>
      </w:r>
      <w:r w:rsidR="00D30FBB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2009</w:t>
      </w:r>
      <w:r w:rsidR="00D30FBB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C13E7A" w:rsidRPr="004370A3" w:rsidRDefault="00C13E7A" w:rsidP="00C13E7A">
      <w:pPr>
        <w:pStyle w:val="Corpsdetexte"/>
        <w:spacing w:after="120" w:line="260" w:lineRule="atLeast"/>
        <w:ind w:left="142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30FBB" w:rsidRPr="004370A3" w:rsidRDefault="00776BC6" w:rsidP="00AF65DD">
      <w:pPr>
        <w:spacing w:before="120" w:after="120" w:line="260" w:lineRule="atLeast"/>
        <w:ind w:left="-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370A3">
        <w:rPr>
          <w:rFonts w:ascii="Times New Roman" w:hAnsi="Times New Roman" w:cs="Times New Roman"/>
          <w:i/>
          <w:sz w:val="24"/>
          <w:szCs w:val="24"/>
          <w:u w:val="single"/>
        </w:rPr>
        <w:t>Direction de thèses :</w:t>
      </w:r>
    </w:p>
    <w:p w:rsidR="00D30FBB" w:rsidRPr="004370A3" w:rsidRDefault="00D30FBB" w:rsidP="00AF65DD">
      <w:pPr>
        <w:pStyle w:val="Corpsdetexte"/>
        <w:numPr>
          <w:ilvl w:val="0"/>
          <w:numId w:val="7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Depuis février 2015 : O.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Seigneury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: « D</w:t>
      </w:r>
      <w:r w:rsidR="0043228B" w:rsidRPr="004370A3">
        <w:rPr>
          <w:rFonts w:ascii="Times New Roman" w:hAnsi="Times New Roman" w:cs="Times New Roman"/>
          <w:sz w:val="24"/>
          <w:szCs w:val="24"/>
          <w:lang w:val="fr-FR"/>
        </w:rPr>
        <w:t>u d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roit à l’environnement </w:t>
      </w:r>
      <w:r w:rsidR="0043228B" w:rsidRPr="004370A3">
        <w:rPr>
          <w:rFonts w:ascii="Times New Roman" w:hAnsi="Times New Roman" w:cs="Times New Roman"/>
          <w:sz w:val="24"/>
          <w:szCs w:val="24"/>
          <w:lang w:val="fr-FR"/>
        </w:rPr>
        <w:t>au droit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au développement durable</w:t>
      </w:r>
      <w:r w:rsidR="0043228B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 : contribution à l’étude du renouveau 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des droits fondamentaux ».</w:t>
      </w:r>
      <w:r w:rsidR="0043228B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3228B" w:rsidRPr="004370A3">
        <w:rPr>
          <w:rFonts w:ascii="Times New Roman" w:hAnsi="Times New Roman" w:cs="Times New Roman"/>
          <w:sz w:val="24"/>
          <w:szCs w:val="24"/>
          <w:lang w:val="fr-FR"/>
        </w:rPr>
        <w:t>Co-direction</w:t>
      </w:r>
      <w:proofErr w:type="spellEnd"/>
      <w:r w:rsidR="0043228B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a</w:t>
      </w:r>
      <w:r w:rsidR="00F656A9" w:rsidRPr="004370A3">
        <w:rPr>
          <w:rFonts w:ascii="Times New Roman" w:hAnsi="Times New Roman" w:cs="Times New Roman"/>
          <w:sz w:val="24"/>
          <w:szCs w:val="24"/>
          <w:lang w:val="fr-FR"/>
        </w:rPr>
        <w:t>vec</w:t>
      </w:r>
      <w:r w:rsidR="00676DB3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Prof.</w:t>
      </w:r>
      <w:r w:rsidR="00F656A9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M.-A. Cohendet</w:t>
      </w:r>
      <w:r w:rsidR="00DF6336">
        <w:rPr>
          <w:rFonts w:ascii="Times New Roman" w:hAnsi="Times New Roman" w:cs="Times New Roman"/>
          <w:sz w:val="24"/>
          <w:szCs w:val="24"/>
          <w:lang w:val="fr-FR"/>
        </w:rPr>
        <w:t>, Université Paris 1.</w:t>
      </w:r>
    </w:p>
    <w:p w:rsidR="00D30FBB" w:rsidRPr="00DF6336" w:rsidRDefault="00D30FBB" w:rsidP="00DF6336">
      <w:pPr>
        <w:pStyle w:val="Corpsdetexte"/>
        <w:numPr>
          <w:ilvl w:val="0"/>
          <w:numId w:val="7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Depuis février 2015 : </w:t>
      </w:r>
      <w:r w:rsidR="00F656A9" w:rsidRPr="004370A3">
        <w:rPr>
          <w:rFonts w:ascii="Times New Roman" w:hAnsi="Times New Roman" w:cs="Times New Roman"/>
          <w:sz w:val="24"/>
          <w:szCs w:val="24"/>
          <w:lang w:val="fr-FR"/>
        </w:rPr>
        <w:t>M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. Uzan : « La responsabilité environnementale en Nouvelle-Calédonie »</w:t>
      </w:r>
      <w:r w:rsidR="00DF633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DF6336" w:rsidRPr="004370A3">
        <w:rPr>
          <w:rFonts w:ascii="Times New Roman" w:hAnsi="Times New Roman" w:cs="Times New Roman"/>
          <w:sz w:val="24"/>
          <w:szCs w:val="24"/>
          <w:lang w:val="fr-FR"/>
        </w:rPr>
        <w:t>Co-direction</w:t>
      </w:r>
      <w:proofErr w:type="spellEnd"/>
      <w:r w:rsidR="00DF6336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avec Prof. C</w:t>
      </w:r>
      <w:r w:rsidR="00DF6336">
        <w:rPr>
          <w:rFonts w:ascii="Times New Roman" w:hAnsi="Times New Roman" w:cs="Times New Roman"/>
          <w:sz w:val="24"/>
          <w:szCs w:val="24"/>
          <w:lang w:val="fr-FR"/>
        </w:rPr>
        <w:t>. Didier-</w:t>
      </w:r>
      <w:proofErr w:type="spellStart"/>
      <w:r w:rsidR="00DF6336">
        <w:rPr>
          <w:rFonts w:ascii="Times New Roman" w:hAnsi="Times New Roman" w:cs="Times New Roman"/>
          <w:sz w:val="24"/>
          <w:szCs w:val="24"/>
          <w:lang w:val="fr-FR"/>
        </w:rPr>
        <w:t>Grare</w:t>
      </w:r>
      <w:proofErr w:type="spellEnd"/>
      <w:r w:rsidR="00DF6336">
        <w:rPr>
          <w:rFonts w:ascii="Times New Roman" w:hAnsi="Times New Roman" w:cs="Times New Roman"/>
          <w:sz w:val="24"/>
          <w:szCs w:val="24"/>
          <w:lang w:val="fr-FR"/>
        </w:rPr>
        <w:t xml:space="preserve">, Université Paris </w:t>
      </w:r>
      <w:r w:rsidR="00DF6336">
        <w:rPr>
          <w:rFonts w:ascii="Times New Roman" w:hAnsi="Times New Roman" w:cs="Times New Roman"/>
          <w:sz w:val="24"/>
          <w:szCs w:val="24"/>
          <w:lang w:val="fr-FR"/>
        </w:rPr>
        <w:t>5</w:t>
      </w:r>
      <w:r w:rsidR="00DF633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30FBB" w:rsidRPr="004370A3" w:rsidRDefault="00D30FBB" w:rsidP="00AF65DD">
      <w:pPr>
        <w:pStyle w:val="Corpsdetexte"/>
        <w:numPr>
          <w:ilvl w:val="0"/>
          <w:numId w:val="7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Depuis </w:t>
      </w:r>
      <w:r w:rsidR="00DF6336">
        <w:rPr>
          <w:rFonts w:ascii="Times New Roman" w:hAnsi="Times New Roman" w:cs="Times New Roman"/>
          <w:sz w:val="24"/>
          <w:szCs w:val="24"/>
          <w:lang w:val="fr-FR"/>
        </w:rPr>
        <w:t>novembre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2015 : S. </w:t>
      </w:r>
      <w:proofErr w:type="gramStart"/>
      <w:r w:rsidRPr="004370A3">
        <w:rPr>
          <w:rFonts w:ascii="Times New Roman" w:hAnsi="Times New Roman" w:cs="Times New Roman"/>
          <w:sz w:val="24"/>
          <w:szCs w:val="24"/>
          <w:lang w:val="fr-FR"/>
        </w:rPr>
        <w:t>Aupetit:</w:t>
      </w:r>
      <w:proofErr w:type="gram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« L’effectivité du droit de l’environnement en Nouvelle-Calédonie ».</w:t>
      </w:r>
      <w:r w:rsidR="0043228B"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EE12E6" w:rsidRPr="004370A3" w:rsidRDefault="00EE12E6" w:rsidP="00AF65DD">
      <w:pPr>
        <w:pStyle w:val="Corpsdetexte"/>
        <w:numPr>
          <w:ilvl w:val="0"/>
          <w:numId w:val="7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Depuis février 2016 : C. Réal Dufour : « Prospection autour d’un modèle </w:t>
      </w:r>
      <w:r w:rsidRPr="004370A3">
        <w:rPr>
          <w:rFonts w:ascii="Times New Roman" w:hAnsi="Times New Roman" w:cs="Times New Roman"/>
          <w:i/>
          <w:sz w:val="24"/>
          <w:szCs w:val="24"/>
          <w:lang w:val="fr-FR"/>
        </w:rPr>
        <w:t>sui generis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de fonction publique en Nouvelle-Calédonie ».</w:t>
      </w:r>
    </w:p>
    <w:p w:rsidR="00EE12E6" w:rsidRPr="004370A3" w:rsidRDefault="00EE12E6" w:rsidP="00AF65DD">
      <w:pPr>
        <w:pStyle w:val="Corpsdetexte"/>
        <w:numPr>
          <w:ilvl w:val="0"/>
          <w:numId w:val="7"/>
        </w:numPr>
        <w:spacing w:after="120" w:line="260" w:lineRule="atLeast"/>
        <w:ind w:left="142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Depuis septembre 2016 : A.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Tutugoro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 : « L’institutionnalisation consentie du mouvement indépendantiste en Nouvelle-Calédonie (1998-2018). Créer l’indépendance dans un territoire en voie d’émancipation ». En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co-direction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 xml:space="preserve"> avec S. Al </w:t>
      </w:r>
      <w:proofErr w:type="spellStart"/>
      <w:r w:rsidRPr="004370A3">
        <w:rPr>
          <w:rFonts w:ascii="Times New Roman" w:hAnsi="Times New Roman" w:cs="Times New Roman"/>
          <w:sz w:val="24"/>
          <w:szCs w:val="24"/>
          <w:lang w:val="fr-FR"/>
        </w:rPr>
        <w:t>Wardi</w:t>
      </w:r>
      <w:proofErr w:type="spellEnd"/>
      <w:r w:rsidRPr="004370A3">
        <w:rPr>
          <w:rFonts w:ascii="Times New Roman" w:hAnsi="Times New Roman" w:cs="Times New Roman"/>
          <w:sz w:val="24"/>
          <w:szCs w:val="24"/>
          <w:lang w:val="fr-FR"/>
        </w:rPr>
        <w:t>, MCF HDR en science politique</w:t>
      </w:r>
      <w:r w:rsidR="00DF6336">
        <w:rPr>
          <w:rFonts w:ascii="Times New Roman" w:hAnsi="Times New Roman" w:cs="Times New Roman"/>
          <w:sz w:val="24"/>
          <w:szCs w:val="24"/>
          <w:lang w:val="fr-FR"/>
        </w:rPr>
        <w:t>, U</w:t>
      </w:r>
      <w:r w:rsidRPr="004370A3">
        <w:rPr>
          <w:rFonts w:ascii="Times New Roman" w:hAnsi="Times New Roman" w:cs="Times New Roman"/>
          <w:sz w:val="24"/>
          <w:szCs w:val="24"/>
          <w:lang w:val="fr-FR"/>
        </w:rPr>
        <w:t>niversité de la Polynésie française.</w:t>
      </w:r>
    </w:p>
    <w:sectPr w:rsidR="00EE12E6" w:rsidRPr="004370A3" w:rsidSect="00F6703D">
      <w:type w:val="continuous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13.5pt;height:13.5pt" o:bullet="t">
        <v:imagedata r:id="rId1" o:title="BD21329_"/>
      </v:shape>
    </w:pict>
  </w:numPicBullet>
  <w:numPicBullet w:numPicBulletId="1">
    <w:pict>
      <v:shape id="_x0000_i1143" type="#_x0000_t75" style="width:11.5pt;height:11.5pt" o:bullet="t">
        <v:imagedata r:id="rId2" o:title="BD14578_"/>
      </v:shape>
    </w:pict>
  </w:numPicBullet>
  <w:abstractNum w:abstractNumId="0" w15:restartNumberingAfterBreak="0">
    <w:nsid w:val="0E423587"/>
    <w:multiLevelType w:val="hybridMultilevel"/>
    <w:tmpl w:val="9AECE2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6051"/>
    <w:multiLevelType w:val="hybridMultilevel"/>
    <w:tmpl w:val="9D3C78F0"/>
    <w:lvl w:ilvl="0" w:tplc="B10C8A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F6B87"/>
    <w:multiLevelType w:val="hybridMultilevel"/>
    <w:tmpl w:val="BC84A44E"/>
    <w:lvl w:ilvl="0" w:tplc="B10C8A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84C8F"/>
    <w:multiLevelType w:val="hybridMultilevel"/>
    <w:tmpl w:val="7F2C1A40"/>
    <w:lvl w:ilvl="0" w:tplc="63541C8C">
      <w:start w:val="1"/>
      <w:numFmt w:val="bullet"/>
      <w:lvlText w:val=""/>
      <w:lvlPicBulletId w:val="1"/>
      <w:lvlJc w:val="left"/>
      <w:pPr>
        <w:ind w:left="152" w:hanging="360"/>
      </w:pPr>
      <w:rPr>
        <w:rFonts w:ascii="Symbol" w:hAnsi="Symbol" w:hint="default"/>
        <w:color w:val="auto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54D28"/>
    <w:multiLevelType w:val="hybridMultilevel"/>
    <w:tmpl w:val="717E6AF0"/>
    <w:lvl w:ilvl="0" w:tplc="B10C8A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12369"/>
    <w:multiLevelType w:val="hybridMultilevel"/>
    <w:tmpl w:val="6B180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3731B"/>
    <w:multiLevelType w:val="hybridMultilevel"/>
    <w:tmpl w:val="25047F7A"/>
    <w:lvl w:ilvl="0" w:tplc="B10C8A26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F621869"/>
    <w:multiLevelType w:val="hybridMultilevel"/>
    <w:tmpl w:val="72E05EFA"/>
    <w:lvl w:ilvl="0" w:tplc="B10C8A26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4E"/>
    <w:rsid w:val="000872AF"/>
    <w:rsid w:val="000977B6"/>
    <w:rsid w:val="001D4945"/>
    <w:rsid w:val="001E4D73"/>
    <w:rsid w:val="00202564"/>
    <w:rsid w:val="00255566"/>
    <w:rsid w:val="002565EA"/>
    <w:rsid w:val="002C2138"/>
    <w:rsid w:val="002D0947"/>
    <w:rsid w:val="002F53F9"/>
    <w:rsid w:val="00395B02"/>
    <w:rsid w:val="0043228B"/>
    <w:rsid w:val="004370A3"/>
    <w:rsid w:val="00457236"/>
    <w:rsid w:val="00457287"/>
    <w:rsid w:val="00482775"/>
    <w:rsid w:val="00486B8D"/>
    <w:rsid w:val="004B5142"/>
    <w:rsid w:val="004B70B2"/>
    <w:rsid w:val="004C1ACA"/>
    <w:rsid w:val="00503119"/>
    <w:rsid w:val="00552C6D"/>
    <w:rsid w:val="0056498D"/>
    <w:rsid w:val="005C406C"/>
    <w:rsid w:val="005F0BC2"/>
    <w:rsid w:val="005F24B9"/>
    <w:rsid w:val="00676DB3"/>
    <w:rsid w:val="007446BA"/>
    <w:rsid w:val="00746670"/>
    <w:rsid w:val="00776BC6"/>
    <w:rsid w:val="007D2BB2"/>
    <w:rsid w:val="007E7691"/>
    <w:rsid w:val="00893E76"/>
    <w:rsid w:val="008D7FAD"/>
    <w:rsid w:val="008E0141"/>
    <w:rsid w:val="009830E8"/>
    <w:rsid w:val="009A1892"/>
    <w:rsid w:val="009A7A80"/>
    <w:rsid w:val="00AB1B4E"/>
    <w:rsid w:val="00AF4AD6"/>
    <w:rsid w:val="00AF65DD"/>
    <w:rsid w:val="00B1462F"/>
    <w:rsid w:val="00B25955"/>
    <w:rsid w:val="00C13E7A"/>
    <w:rsid w:val="00C85EE7"/>
    <w:rsid w:val="00C91D0B"/>
    <w:rsid w:val="00CA4C11"/>
    <w:rsid w:val="00D30FBB"/>
    <w:rsid w:val="00D509BF"/>
    <w:rsid w:val="00DF6336"/>
    <w:rsid w:val="00E31861"/>
    <w:rsid w:val="00E43477"/>
    <w:rsid w:val="00E65A87"/>
    <w:rsid w:val="00E745FF"/>
    <w:rsid w:val="00E835D3"/>
    <w:rsid w:val="00EB4A12"/>
    <w:rsid w:val="00EE12E6"/>
    <w:rsid w:val="00EF3F1F"/>
    <w:rsid w:val="00F656A9"/>
    <w:rsid w:val="00F6703D"/>
    <w:rsid w:val="00F86253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0CA3"/>
  <w15:docId w15:val="{EE7DDAC7-4B51-4FBB-8949-AB8EF91E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B4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B1B4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D0947"/>
    <w:pPr>
      <w:ind w:left="720"/>
      <w:contextualSpacing/>
    </w:pPr>
  </w:style>
  <w:style w:type="paragraph" w:styleId="Corpsdetexte">
    <w:name w:val="Body Text"/>
    <w:basedOn w:val="Normal"/>
    <w:link w:val="CorpsdetexteCar"/>
    <w:rsid w:val="00F86253"/>
    <w:pPr>
      <w:spacing w:line="300" w:lineRule="auto"/>
    </w:pPr>
    <w:rPr>
      <w:rFonts w:eastAsiaTheme="minorEastAsia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rsid w:val="00F86253"/>
    <w:rPr>
      <w:rFonts w:eastAsiaTheme="minorEastAs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mailto:/cdavid.juri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rine.david@univ-nc.n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3F1B-BD7F-4FDA-9694-09D7A5D6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8</Pages>
  <Words>2966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Carine David</cp:lastModifiedBy>
  <cp:revision>8</cp:revision>
  <cp:lastPrinted>2015-12-15T23:58:00Z</cp:lastPrinted>
  <dcterms:created xsi:type="dcterms:W3CDTF">2017-02-25T00:45:00Z</dcterms:created>
  <dcterms:modified xsi:type="dcterms:W3CDTF">2018-03-28T03:11:00Z</dcterms:modified>
</cp:coreProperties>
</file>